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FA" w:rsidRDefault="00984CFA">
      <w:pPr>
        <w:adjustRightInd w:val="0"/>
        <w:spacing w:line="580" w:lineRule="exact"/>
        <w:jc w:val="center"/>
        <w:textAlignment w:val="baseline"/>
        <w:rPr>
          <w:rFonts w:ascii="黑体" w:eastAsia="黑体" w:hAnsi="Times New Roman" w:cs="Times New Roman" w:hint="eastAsia"/>
          <w:w w:val="95"/>
          <w:kern w:val="0"/>
          <w:sz w:val="44"/>
          <w:szCs w:val="44"/>
        </w:rPr>
      </w:pPr>
    </w:p>
    <w:p w:rsidR="00984CFA" w:rsidRDefault="00984CFA">
      <w:pPr>
        <w:adjustRightInd w:val="0"/>
        <w:spacing w:line="580" w:lineRule="exact"/>
        <w:jc w:val="center"/>
        <w:textAlignment w:val="baseline"/>
        <w:rPr>
          <w:rFonts w:ascii="黑体" w:eastAsia="黑体" w:hAnsi="Times New Roman" w:cs="Times New Roman" w:hint="eastAsia"/>
          <w:w w:val="95"/>
          <w:kern w:val="0"/>
          <w:sz w:val="44"/>
          <w:szCs w:val="44"/>
        </w:rPr>
      </w:pPr>
    </w:p>
    <w:p w:rsidR="00984CFA" w:rsidRDefault="00984CFA">
      <w:pPr>
        <w:adjustRightInd w:val="0"/>
        <w:spacing w:line="580" w:lineRule="exact"/>
        <w:jc w:val="center"/>
        <w:textAlignment w:val="baseline"/>
        <w:rPr>
          <w:rFonts w:ascii="黑体" w:eastAsia="黑体" w:hAnsi="Times New Roman" w:cs="Times New Roman" w:hint="eastAsia"/>
          <w:w w:val="95"/>
          <w:kern w:val="0"/>
          <w:sz w:val="44"/>
          <w:szCs w:val="44"/>
        </w:rPr>
      </w:pPr>
    </w:p>
    <w:p w:rsidR="00984CFA" w:rsidRDefault="00984CFA">
      <w:pPr>
        <w:adjustRightInd w:val="0"/>
        <w:spacing w:line="580" w:lineRule="exact"/>
        <w:jc w:val="center"/>
        <w:textAlignment w:val="baseline"/>
        <w:rPr>
          <w:rFonts w:ascii="黑体" w:eastAsia="黑体" w:hAnsi="Times New Roman" w:cs="Times New Roman" w:hint="eastAsia"/>
          <w:w w:val="95"/>
          <w:kern w:val="0"/>
          <w:sz w:val="44"/>
          <w:szCs w:val="44"/>
        </w:rPr>
      </w:pPr>
    </w:p>
    <w:p w:rsidR="00984CFA" w:rsidRDefault="00984CFA">
      <w:pPr>
        <w:adjustRightInd w:val="0"/>
        <w:spacing w:line="580" w:lineRule="exact"/>
        <w:jc w:val="center"/>
        <w:textAlignment w:val="baseline"/>
        <w:rPr>
          <w:rFonts w:ascii="黑体" w:eastAsia="黑体" w:hAnsi="Times New Roman" w:cs="Times New Roman" w:hint="eastAsia"/>
          <w:w w:val="95"/>
          <w:kern w:val="0"/>
          <w:sz w:val="44"/>
          <w:szCs w:val="44"/>
        </w:rPr>
      </w:pPr>
    </w:p>
    <w:p w:rsidR="00984CFA" w:rsidRDefault="00984CFA">
      <w:pPr>
        <w:adjustRightInd w:val="0"/>
        <w:spacing w:line="580" w:lineRule="exact"/>
        <w:jc w:val="center"/>
        <w:textAlignment w:val="baseline"/>
        <w:rPr>
          <w:rFonts w:ascii="黑体" w:eastAsia="黑体" w:hAnsi="Times New Roman" w:cs="Times New Roman" w:hint="eastAsia"/>
          <w:w w:val="95"/>
          <w:kern w:val="0"/>
          <w:sz w:val="44"/>
          <w:szCs w:val="44"/>
        </w:rPr>
      </w:pPr>
    </w:p>
    <w:p w:rsidR="00984CFA" w:rsidRDefault="00984CFA">
      <w:pPr>
        <w:adjustRightInd w:val="0"/>
        <w:spacing w:line="580" w:lineRule="exact"/>
        <w:jc w:val="center"/>
        <w:textAlignment w:val="baseline"/>
        <w:rPr>
          <w:rFonts w:ascii="黑体" w:eastAsia="黑体" w:hAnsi="Times New Roman" w:cs="Times New Roman" w:hint="eastAsia"/>
          <w:w w:val="95"/>
          <w:kern w:val="0"/>
          <w:sz w:val="44"/>
          <w:szCs w:val="44"/>
        </w:rPr>
      </w:pPr>
    </w:p>
    <w:p w:rsidR="00984CFA" w:rsidRDefault="00984CFA">
      <w:pPr>
        <w:adjustRightInd w:val="0"/>
        <w:spacing w:line="580" w:lineRule="exact"/>
        <w:jc w:val="center"/>
        <w:textAlignment w:val="baseline"/>
        <w:rPr>
          <w:rFonts w:ascii="黑体" w:eastAsia="黑体" w:hAnsi="Times New Roman" w:cs="Times New Roman" w:hint="eastAsia"/>
          <w:w w:val="95"/>
          <w:kern w:val="0"/>
          <w:sz w:val="44"/>
          <w:szCs w:val="44"/>
        </w:rPr>
      </w:pPr>
    </w:p>
    <w:p w:rsidR="00984CFA" w:rsidRDefault="00DB71A8">
      <w:pPr>
        <w:adjustRightInd w:val="0"/>
        <w:spacing w:line="580" w:lineRule="exact"/>
        <w:jc w:val="center"/>
        <w:textAlignment w:val="baseline"/>
        <w:rPr>
          <w:rFonts w:ascii="方正小标宋简体" w:eastAsia="方正小标宋简体" w:hAnsi="方正小标宋简体" w:cs="方正小标宋简体" w:hint="eastAsia"/>
          <w:sz w:val="48"/>
          <w:szCs w:val="48"/>
        </w:rPr>
      </w:pPr>
      <w:r>
        <w:rPr>
          <w:rFonts w:ascii="黑体" w:eastAsia="黑体" w:hAnsi="Times New Roman" w:cs="Times New Roman" w:hint="eastAsia"/>
          <w:w w:val="95"/>
          <w:kern w:val="0"/>
          <w:sz w:val="44"/>
          <w:szCs w:val="44"/>
        </w:rPr>
        <w:t>天津市人力资源和社会保障宣传教育科研中心201</w:t>
      </w:r>
      <w:r w:rsidR="00ED435E">
        <w:rPr>
          <w:rFonts w:ascii="黑体" w:eastAsia="黑体" w:hAnsi="Times New Roman" w:cs="Times New Roman" w:hint="eastAsia"/>
          <w:w w:val="95"/>
          <w:kern w:val="0"/>
          <w:sz w:val="44"/>
          <w:szCs w:val="44"/>
        </w:rPr>
        <w:t>9</w:t>
      </w:r>
      <w:r>
        <w:rPr>
          <w:rFonts w:ascii="黑体" w:eastAsia="黑体" w:hAnsi="Times New Roman" w:cs="Times New Roman" w:hint="eastAsia"/>
          <w:w w:val="95"/>
          <w:kern w:val="0"/>
          <w:sz w:val="44"/>
          <w:szCs w:val="44"/>
        </w:rPr>
        <w:t>年度部门决算</w:t>
      </w:r>
      <w:r w:rsidR="00984CFA">
        <w:rPr>
          <w:rFonts w:ascii="黑体" w:eastAsia="黑体" w:hAnsi="Times New Roman" w:cs="Times New Roman" w:hint="eastAsia"/>
          <w:w w:val="95"/>
          <w:kern w:val="0"/>
          <w:sz w:val="44"/>
          <w:szCs w:val="44"/>
        </w:rPr>
        <w:t>和</w:t>
      </w:r>
      <w:r w:rsidR="00984CFA">
        <w:rPr>
          <w:rFonts w:ascii="方正小标宋简体" w:eastAsia="方正小标宋简体" w:hAnsi="方正小标宋简体" w:cs="方正小标宋简体" w:hint="eastAsia"/>
          <w:sz w:val="48"/>
          <w:szCs w:val="48"/>
        </w:rPr>
        <w:t>“三公”经费</w:t>
      </w:r>
    </w:p>
    <w:p w:rsidR="00A50C87" w:rsidRDefault="00984CFA">
      <w:pPr>
        <w:adjustRightInd w:val="0"/>
        <w:spacing w:line="580" w:lineRule="exact"/>
        <w:jc w:val="center"/>
        <w:textAlignment w:val="baseline"/>
        <w:rPr>
          <w:rFonts w:ascii="黑体" w:eastAsia="黑体" w:hAnsi="Times New Roman" w:cs="Times New Roman"/>
          <w:w w:val="95"/>
          <w:kern w:val="0"/>
          <w:sz w:val="44"/>
          <w:szCs w:val="44"/>
        </w:rPr>
      </w:pPr>
      <w:r>
        <w:rPr>
          <w:rFonts w:ascii="方正小标宋简体" w:eastAsia="方正小标宋简体" w:hAnsi="方正小标宋简体" w:cs="方正小标宋简体" w:hint="eastAsia"/>
          <w:sz w:val="48"/>
          <w:szCs w:val="48"/>
        </w:rPr>
        <w:t>决算</w:t>
      </w:r>
      <w:r w:rsidR="00DB71A8">
        <w:rPr>
          <w:rFonts w:ascii="黑体" w:eastAsia="黑体" w:hAnsi="Times New Roman" w:cs="Times New Roman" w:hint="eastAsia"/>
          <w:w w:val="95"/>
          <w:kern w:val="0"/>
          <w:sz w:val="44"/>
          <w:szCs w:val="44"/>
        </w:rPr>
        <w:t>编制说明</w:t>
      </w:r>
    </w:p>
    <w:p w:rsidR="00A50C87" w:rsidRDefault="00A50C87">
      <w:pPr>
        <w:adjustRightInd w:val="0"/>
        <w:spacing w:line="580" w:lineRule="exact"/>
        <w:jc w:val="center"/>
        <w:textAlignment w:val="baseline"/>
        <w:rPr>
          <w:rFonts w:ascii="黑体" w:eastAsia="黑体" w:hAnsi="Times New Roman" w:cs="Times New Roman"/>
          <w:w w:val="95"/>
          <w:kern w:val="0"/>
          <w:sz w:val="44"/>
          <w:szCs w:val="44"/>
        </w:rPr>
      </w:pPr>
    </w:p>
    <w:p w:rsidR="00A50C87" w:rsidRDefault="00A50C87">
      <w:pPr>
        <w:adjustRightInd w:val="0"/>
        <w:spacing w:line="580" w:lineRule="exact"/>
        <w:jc w:val="center"/>
        <w:textAlignment w:val="baseline"/>
        <w:rPr>
          <w:rFonts w:ascii="黑体" w:eastAsia="黑体" w:hAnsi="黑体" w:cs="Times New Roman" w:hint="eastAsia"/>
          <w:kern w:val="0"/>
          <w:sz w:val="30"/>
          <w:szCs w:val="30"/>
        </w:rPr>
      </w:pPr>
    </w:p>
    <w:p w:rsidR="00984CFA" w:rsidRDefault="00984CFA">
      <w:pPr>
        <w:adjustRightInd w:val="0"/>
        <w:spacing w:line="580" w:lineRule="exact"/>
        <w:jc w:val="center"/>
        <w:textAlignment w:val="baseline"/>
        <w:rPr>
          <w:rFonts w:ascii="黑体" w:eastAsia="黑体" w:hAnsi="黑体" w:cs="Times New Roman" w:hint="eastAsia"/>
          <w:kern w:val="0"/>
          <w:sz w:val="30"/>
          <w:szCs w:val="30"/>
        </w:rPr>
      </w:pPr>
    </w:p>
    <w:p w:rsidR="00984CFA" w:rsidRDefault="00984CFA">
      <w:pPr>
        <w:adjustRightInd w:val="0"/>
        <w:spacing w:line="580" w:lineRule="exact"/>
        <w:jc w:val="center"/>
        <w:textAlignment w:val="baseline"/>
        <w:rPr>
          <w:rFonts w:ascii="黑体" w:eastAsia="黑体" w:hAnsi="黑体" w:cs="Times New Roman" w:hint="eastAsia"/>
          <w:kern w:val="0"/>
          <w:sz w:val="30"/>
          <w:szCs w:val="30"/>
        </w:rPr>
      </w:pPr>
    </w:p>
    <w:p w:rsidR="00984CFA" w:rsidRDefault="00984CFA">
      <w:pPr>
        <w:adjustRightInd w:val="0"/>
        <w:spacing w:line="580" w:lineRule="exact"/>
        <w:jc w:val="center"/>
        <w:textAlignment w:val="baseline"/>
        <w:rPr>
          <w:rFonts w:ascii="黑体" w:eastAsia="黑体" w:hAnsi="黑体" w:cs="Times New Roman" w:hint="eastAsia"/>
          <w:kern w:val="0"/>
          <w:sz w:val="30"/>
          <w:szCs w:val="30"/>
        </w:rPr>
      </w:pPr>
    </w:p>
    <w:p w:rsidR="00984CFA" w:rsidRDefault="00984CFA">
      <w:pPr>
        <w:adjustRightInd w:val="0"/>
        <w:spacing w:line="580" w:lineRule="exact"/>
        <w:jc w:val="center"/>
        <w:textAlignment w:val="baseline"/>
        <w:rPr>
          <w:rFonts w:ascii="黑体" w:eastAsia="黑体" w:hAnsi="黑体" w:cs="Times New Roman" w:hint="eastAsia"/>
          <w:kern w:val="0"/>
          <w:sz w:val="30"/>
          <w:szCs w:val="30"/>
        </w:rPr>
      </w:pPr>
    </w:p>
    <w:p w:rsidR="00984CFA" w:rsidRDefault="00984CFA">
      <w:pPr>
        <w:adjustRightInd w:val="0"/>
        <w:spacing w:line="580" w:lineRule="exact"/>
        <w:jc w:val="center"/>
        <w:textAlignment w:val="baseline"/>
        <w:rPr>
          <w:rFonts w:ascii="黑体" w:eastAsia="黑体" w:hAnsi="黑体" w:cs="Times New Roman" w:hint="eastAsia"/>
          <w:kern w:val="0"/>
          <w:sz w:val="30"/>
          <w:szCs w:val="30"/>
        </w:rPr>
      </w:pPr>
    </w:p>
    <w:p w:rsidR="00984CFA" w:rsidRDefault="00984CFA">
      <w:pPr>
        <w:adjustRightInd w:val="0"/>
        <w:spacing w:line="580" w:lineRule="exact"/>
        <w:jc w:val="center"/>
        <w:textAlignment w:val="baseline"/>
        <w:rPr>
          <w:rFonts w:ascii="黑体" w:eastAsia="黑体" w:hAnsi="黑体" w:cs="Times New Roman" w:hint="eastAsia"/>
          <w:kern w:val="0"/>
          <w:sz w:val="30"/>
          <w:szCs w:val="30"/>
        </w:rPr>
      </w:pPr>
    </w:p>
    <w:p w:rsidR="00984CFA" w:rsidRDefault="00984CFA">
      <w:pPr>
        <w:adjustRightInd w:val="0"/>
        <w:spacing w:line="580" w:lineRule="exact"/>
        <w:jc w:val="center"/>
        <w:textAlignment w:val="baseline"/>
        <w:rPr>
          <w:rFonts w:ascii="黑体" w:eastAsia="黑体" w:hAnsi="黑体" w:cs="Times New Roman" w:hint="eastAsia"/>
          <w:kern w:val="0"/>
          <w:sz w:val="30"/>
          <w:szCs w:val="30"/>
        </w:rPr>
      </w:pPr>
    </w:p>
    <w:p w:rsidR="00984CFA" w:rsidRDefault="00984CFA">
      <w:pPr>
        <w:adjustRightInd w:val="0"/>
        <w:spacing w:line="580" w:lineRule="exact"/>
        <w:jc w:val="center"/>
        <w:textAlignment w:val="baseline"/>
        <w:rPr>
          <w:rFonts w:ascii="黑体" w:eastAsia="黑体" w:hAnsi="黑体" w:cs="Times New Roman" w:hint="eastAsia"/>
          <w:kern w:val="0"/>
          <w:sz w:val="30"/>
          <w:szCs w:val="30"/>
        </w:rPr>
      </w:pPr>
    </w:p>
    <w:p w:rsidR="00984CFA" w:rsidRDefault="00984CFA">
      <w:pPr>
        <w:adjustRightInd w:val="0"/>
        <w:spacing w:line="580" w:lineRule="exact"/>
        <w:jc w:val="center"/>
        <w:textAlignment w:val="baseline"/>
        <w:rPr>
          <w:rFonts w:ascii="黑体" w:eastAsia="黑体" w:hAnsi="黑体" w:cs="Times New Roman" w:hint="eastAsia"/>
          <w:kern w:val="0"/>
          <w:sz w:val="30"/>
          <w:szCs w:val="30"/>
        </w:rPr>
      </w:pPr>
    </w:p>
    <w:p w:rsidR="00984CFA" w:rsidRDefault="00984CFA">
      <w:pPr>
        <w:adjustRightInd w:val="0"/>
        <w:spacing w:line="580" w:lineRule="exact"/>
        <w:jc w:val="center"/>
        <w:textAlignment w:val="baseline"/>
        <w:rPr>
          <w:rFonts w:ascii="黑体" w:eastAsia="黑体" w:hAnsi="黑体" w:cs="Times New Roman" w:hint="eastAsia"/>
          <w:kern w:val="0"/>
          <w:sz w:val="30"/>
          <w:szCs w:val="30"/>
        </w:rPr>
      </w:pPr>
    </w:p>
    <w:p w:rsidR="00984CFA" w:rsidRDefault="00984CFA">
      <w:pPr>
        <w:adjustRightInd w:val="0"/>
        <w:spacing w:line="580" w:lineRule="exact"/>
        <w:jc w:val="center"/>
        <w:textAlignment w:val="baseline"/>
        <w:rPr>
          <w:rFonts w:ascii="黑体" w:eastAsia="黑体" w:hAnsi="黑体" w:cs="Times New Roman" w:hint="eastAsia"/>
          <w:kern w:val="0"/>
          <w:sz w:val="30"/>
          <w:szCs w:val="30"/>
        </w:rPr>
      </w:pPr>
    </w:p>
    <w:p w:rsidR="00984CFA" w:rsidRDefault="00984CFA" w:rsidP="00984CFA">
      <w:pPr>
        <w:spacing w:line="580" w:lineRule="exact"/>
        <w:jc w:val="center"/>
        <w:rPr>
          <w:rFonts w:ascii="黑体" w:eastAsia="黑体" w:hAnsi="Calibri" w:cs="Times New Roman" w:hint="eastAsia"/>
          <w:sz w:val="44"/>
          <w:szCs w:val="44"/>
        </w:rPr>
      </w:pPr>
      <w:r>
        <w:rPr>
          <w:rFonts w:ascii="黑体" w:eastAsia="黑体" w:hAnsi="Calibri" w:cs="Times New Roman" w:hint="eastAsia"/>
          <w:sz w:val="44"/>
          <w:szCs w:val="44"/>
        </w:rPr>
        <w:lastRenderedPageBreak/>
        <w:t>目   录</w:t>
      </w:r>
    </w:p>
    <w:p w:rsidR="00984CFA" w:rsidRDefault="00984CFA" w:rsidP="00984CFA">
      <w:pPr>
        <w:spacing w:line="580" w:lineRule="exact"/>
        <w:rPr>
          <w:rFonts w:ascii="黑体" w:eastAsia="黑体" w:hAnsi="Calibri" w:cs="Times New Roman" w:hint="eastAsia"/>
          <w:sz w:val="30"/>
          <w:szCs w:val="30"/>
        </w:rPr>
      </w:pPr>
    </w:p>
    <w:p w:rsidR="00984CFA" w:rsidRDefault="00984CFA" w:rsidP="00984CFA">
      <w:pPr>
        <w:spacing w:line="600" w:lineRule="exact"/>
        <w:rPr>
          <w:rFonts w:ascii="黑体" w:eastAsia="黑体" w:hAnsi="Calibri" w:cs="Times New Roman" w:hint="eastAsia"/>
          <w:sz w:val="30"/>
          <w:szCs w:val="30"/>
        </w:rPr>
      </w:pPr>
      <w:r>
        <w:rPr>
          <w:rFonts w:ascii="黑体" w:eastAsia="黑体" w:hAnsi="Calibri" w:cs="Times New Roman" w:hint="eastAsia"/>
          <w:sz w:val="30"/>
          <w:szCs w:val="30"/>
        </w:rPr>
        <w:t>第一部分  概况</w:t>
      </w:r>
    </w:p>
    <w:p w:rsidR="00984CFA" w:rsidRDefault="00984CFA" w:rsidP="00984CFA">
      <w:pPr>
        <w:numPr>
          <w:ilvl w:val="0"/>
          <w:numId w:val="1"/>
        </w:numPr>
        <w:adjustRightInd w:val="0"/>
        <w:spacing w:line="600" w:lineRule="exact"/>
        <w:jc w:val="left"/>
        <w:textAlignment w:val="baseline"/>
        <w:rPr>
          <w:rFonts w:ascii="楷体_GB2312" w:eastAsia="楷体_GB2312" w:hAnsi="Calibri" w:cs="Times New Roman" w:hint="eastAsia"/>
          <w:bCs/>
          <w:sz w:val="30"/>
          <w:szCs w:val="30"/>
        </w:rPr>
      </w:pPr>
      <w:r>
        <w:rPr>
          <w:rFonts w:ascii="楷体_GB2312" w:eastAsia="楷体_GB2312" w:hAnsi="Calibri" w:cs="Times New Roman" w:hint="eastAsia"/>
          <w:bCs/>
          <w:sz w:val="30"/>
          <w:szCs w:val="30"/>
        </w:rPr>
        <w:t>主要职责</w:t>
      </w:r>
    </w:p>
    <w:p w:rsidR="00984CFA" w:rsidRDefault="00984CFA" w:rsidP="00984CFA">
      <w:pPr>
        <w:numPr>
          <w:ilvl w:val="0"/>
          <w:numId w:val="1"/>
        </w:numPr>
        <w:adjustRightInd w:val="0"/>
        <w:spacing w:line="600" w:lineRule="exact"/>
        <w:jc w:val="left"/>
        <w:textAlignment w:val="baseline"/>
        <w:rPr>
          <w:rFonts w:ascii="楷体_GB2312" w:eastAsia="楷体_GB2312" w:hAnsi="Calibri" w:cs="Times New Roman" w:hint="eastAsia"/>
          <w:bCs/>
          <w:sz w:val="30"/>
          <w:szCs w:val="30"/>
        </w:rPr>
      </w:pPr>
      <w:r>
        <w:rPr>
          <w:rFonts w:ascii="楷体_GB2312" w:eastAsia="楷体_GB2312" w:hAnsi="Calibri" w:cs="Times New Roman" w:hint="eastAsia"/>
          <w:bCs/>
          <w:sz w:val="30"/>
          <w:szCs w:val="30"/>
        </w:rPr>
        <w:t>机构设置</w:t>
      </w:r>
    </w:p>
    <w:p w:rsidR="00984CFA" w:rsidRDefault="00984CFA" w:rsidP="00984CFA">
      <w:pPr>
        <w:spacing w:line="600" w:lineRule="exact"/>
        <w:rPr>
          <w:rFonts w:ascii="楷体_GB2312" w:eastAsia="楷体_GB2312" w:hAnsi="Calibri" w:cs="Times New Roman" w:hint="eastAsia"/>
          <w:b/>
          <w:sz w:val="30"/>
          <w:szCs w:val="30"/>
        </w:rPr>
      </w:pPr>
      <w:r>
        <w:rPr>
          <w:rFonts w:ascii="Calibri" w:eastAsia="黑体" w:hAnsi="Calibri" w:cs="Times New Roman"/>
          <w:sz w:val="30"/>
          <w:szCs w:val="30"/>
        </w:rPr>
        <w:t>第</w:t>
      </w:r>
      <w:r>
        <w:rPr>
          <w:rFonts w:ascii="Calibri" w:eastAsia="黑体" w:hAnsi="Calibri" w:cs="Times New Roman" w:hint="eastAsia"/>
          <w:sz w:val="30"/>
          <w:szCs w:val="30"/>
        </w:rPr>
        <w:t>二</w:t>
      </w:r>
      <w:r>
        <w:rPr>
          <w:rFonts w:ascii="Calibri" w:eastAsia="黑体" w:hAnsi="Calibri" w:cs="Times New Roman"/>
          <w:sz w:val="30"/>
          <w:szCs w:val="30"/>
        </w:rPr>
        <w:t>部分</w:t>
      </w:r>
      <w:r>
        <w:rPr>
          <w:rFonts w:ascii="Calibri" w:eastAsia="黑体" w:hAnsi="Calibri" w:cs="Times New Roman"/>
          <w:sz w:val="30"/>
          <w:szCs w:val="30"/>
        </w:rPr>
        <w:t xml:space="preserve">  2019</w:t>
      </w:r>
      <w:r>
        <w:rPr>
          <w:rFonts w:ascii="Calibri" w:eastAsia="黑体" w:hAnsi="Calibri" w:cs="Times New Roman"/>
          <w:sz w:val="30"/>
          <w:szCs w:val="30"/>
        </w:rPr>
        <w:t>年度部门决算</w:t>
      </w:r>
      <w:r>
        <w:rPr>
          <w:rFonts w:ascii="Calibri" w:eastAsia="黑体" w:hAnsi="Calibri" w:cs="Times New Roman" w:hint="eastAsia"/>
          <w:sz w:val="30"/>
          <w:szCs w:val="30"/>
        </w:rPr>
        <w:t>编制</w:t>
      </w:r>
      <w:r>
        <w:rPr>
          <w:rFonts w:ascii="Calibri" w:eastAsia="黑体" w:hAnsi="Calibri" w:cs="Times New Roman"/>
          <w:sz w:val="30"/>
          <w:szCs w:val="30"/>
        </w:rPr>
        <w:t>说明</w:t>
      </w:r>
    </w:p>
    <w:p w:rsidR="00984CFA" w:rsidRDefault="00984CFA" w:rsidP="00984CFA">
      <w:pPr>
        <w:spacing w:line="600" w:lineRule="exact"/>
        <w:rPr>
          <w:rFonts w:ascii="Calibri" w:eastAsia="楷体_GB2312" w:hAnsi="Calibri" w:cs="Times New Roman"/>
          <w:bCs/>
          <w:sz w:val="30"/>
          <w:szCs w:val="30"/>
        </w:rPr>
      </w:pPr>
      <w:r>
        <w:rPr>
          <w:rFonts w:ascii="Calibri" w:eastAsia="楷体_GB2312" w:hAnsi="Calibri" w:cs="Times New Roman"/>
          <w:bCs/>
          <w:sz w:val="30"/>
          <w:szCs w:val="30"/>
        </w:rPr>
        <w:t>一、</w:t>
      </w:r>
      <w:r>
        <w:rPr>
          <w:rFonts w:ascii="Calibri" w:eastAsia="楷体_GB2312" w:hAnsi="Calibri" w:cs="Times New Roman"/>
          <w:bCs/>
          <w:sz w:val="30"/>
          <w:szCs w:val="30"/>
        </w:rPr>
        <w:t>2019</w:t>
      </w:r>
      <w:r>
        <w:rPr>
          <w:rFonts w:ascii="Calibri" w:eastAsia="楷体_GB2312" w:hAnsi="Calibri" w:cs="Times New Roman"/>
          <w:bCs/>
          <w:sz w:val="30"/>
          <w:szCs w:val="30"/>
        </w:rPr>
        <w:t>年度部门决算收入情况</w:t>
      </w:r>
    </w:p>
    <w:p w:rsidR="00984CFA" w:rsidRDefault="00984CFA" w:rsidP="00984CFA">
      <w:pPr>
        <w:spacing w:line="600" w:lineRule="exact"/>
        <w:rPr>
          <w:rFonts w:ascii="Calibri" w:eastAsia="楷体_GB2312" w:hAnsi="Calibri" w:cs="Times New Roman"/>
          <w:bCs/>
          <w:sz w:val="30"/>
          <w:szCs w:val="30"/>
        </w:rPr>
      </w:pPr>
      <w:r>
        <w:rPr>
          <w:rFonts w:ascii="Calibri" w:eastAsia="楷体_GB2312" w:hAnsi="Calibri" w:cs="Times New Roman"/>
          <w:bCs/>
          <w:sz w:val="30"/>
          <w:szCs w:val="30"/>
        </w:rPr>
        <w:t>二、</w:t>
      </w:r>
      <w:r>
        <w:rPr>
          <w:rFonts w:ascii="Calibri" w:eastAsia="楷体_GB2312" w:hAnsi="Calibri" w:cs="Times New Roman"/>
          <w:bCs/>
          <w:sz w:val="30"/>
          <w:szCs w:val="30"/>
        </w:rPr>
        <w:t>2019</w:t>
      </w:r>
      <w:r>
        <w:rPr>
          <w:rFonts w:ascii="Calibri" w:eastAsia="楷体_GB2312" w:hAnsi="Calibri" w:cs="Times New Roman"/>
          <w:bCs/>
          <w:sz w:val="30"/>
          <w:szCs w:val="30"/>
        </w:rPr>
        <w:t>年度部门决算支出情况</w:t>
      </w:r>
    </w:p>
    <w:p w:rsidR="00984CFA" w:rsidRDefault="00984CFA" w:rsidP="00984CFA">
      <w:pPr>
        <w:spacing w:line="600" w:lineRule="exact"/>
        <w:rPr>
          <w:rFonts w:ascii="Calibri" w:eastAsia="楷体_GB2312" w:hAnsi="Calibri" w:cs="Times New Roman"/>
          <w:bCs/>
          <w:sz w:val="30"/>
          <w:szCs w:val="30"/>
        </w:rPr>
      </w:pPr>
      <w:r>
        <w:rPr>
          <w:rFonts w:ascii="Calibri" w:eastAsia="楷体_GB2312" w:hAnsi="Calibri" w:cs="Times New Roman"/>
          <w:bCs/>
          <w:sz w:val="30"/>
          <w:szCs w:val="30"/>
        </w:rPr>
        <w:t>三、</w:t>
      </w:r>
      <w:r>
        <w:rPr>
          <w:rFonts w:ascii="Calibri" w:eastAsia="楷体_GB2312" w:hAnsi="Calibri" w:cs="Times New Roman"/>
          <w:bCs/>
          <w:sz w:val="30"/>
          <w:szCs w:val="30"/>
        </w:rPr>
        <w:t>2019</w:t>
      </w:r>
      <w:r>
        <w:rPr>
          <w:rFonts w:ascii="Calibri" w:eastAsia="楷体_GB2312" w:hAnsi="Calibri" w:cs="Times New Roman"/>
          <w:bCs/>
          <w:sz w:val="30"/>
          <w:szCs w:val="30"/>
        </w:rPr>
        <w:t>年度部门决算一般公共预算财政拨款支出情况</w:t>
      </w:r>
    </w:p>
    <w:p w:rsidR="00984CFA" w:rsidRDefault="00984CFA" w:rsidP="00984CFA">
      <w:pPr>
        <w:spacing w:line="600" w:lineRule="exact"/>
        <w:rPr>
          <w:rFonts w:ascii="Calibri" w:eastAsia="楷体_GB2312" w:hAnsi="Calibri" w:cs="Times New Roman"/>
          <w:bCs/>
          <w:sz w:val="30"/>
          <w:szCs w:val="30"/>
        </w:rPr>
      </w:pPr>
      <w:r>
        <w:rPr>
          <w:rFonts w:ascii="Calibri" w:eastAsia="楷体_GB2312" w:hAnsi="Calibri" w:cs="Times New Roman"/>
          <w:bCs/>
          <w:sz w:val="30"/>
          <w:szCs w:val="30"/>
        </w:rPr>
        <w:t>四、</w:t>
      </w:r>
      <w:r>
        <w:rPr>
          <w:rFonts w:ascii="Calibri" w:eastAsia="楷体_GB2312" w:hAnsi="Calibri" w:cs="Times New Roman"/>
          <w:bCs/>
          <w:sz w:val="30"/>
          <w:szCs w:val="30"/>
        </w:rPr>
        <w:t>2019</w:t>
      </w:r>
      <w:r>
        <w:rPr>
          <w:rFonts w:ascii="Calibri" w:eastAsia="楷体_GB2312" w:hAnsi="Calibri" w:cs="Times New Roman"/>
          <w:bCs/>
          <w:sz w:val="30"/>
          <w:szCs w:val="30"/>
        </w:rPr>
        <w:t>年度部门决算一般公共预算财政拨款基本支出情况</w:t>
      </w:r>
    </w:p>
    <w:p w:rsidR="00984CFA" w:rsidRDefault="00984CFA" w:rsidP="00984CFA">
      <w:pPr>
        <w:spacing w:line="600" w:lineRule="exact"/>
        <w:rPr>
          <w:rFonts w:ascii="Calibri" w:eastAsia="楷体_GB2312" w:hAnsi="Calibri" w:cs="Times New Roman"/>
          <w:bCs/>
          <w:sz w:val="30"/>
          <w:szCs w:val="30"/>
        </w:rPr>
      </w:pPr>
      <w:r>
        <w:rPr>
          <w:rFonts w:ascii="Calibri" w:eastAsia="楷体_GB2312" w:hAnsi="Calibri" w:cs="Times New Roman"/>
          <w:bCs/>
          <w:sz w:val="30"/>
          <w:szCs w:val="30"/>
        </w:rPr>
        <w:t>五、</w:t>
      </w:r>
      <w:r>
        <w:rPr>
          <w:rFonts w:ascii="Calibri" w:eastAsia="楷体_GB2312" w:hAnsi="Calibri" w:cs="Times New Roman"/>
          <w:bCs/>
          <w:sz w:val="30"/>
          <w:szCs w:val="30"/>
        </w:rPr>
        <w:t>2019</w:t>
      </w:r>
      <w:r>
        <w:rPr>
          <w:rFonts w:ascii="Calibri" w:eastAsia="楷体_GB2312" w:hAnsi="Calibri" w:cs="Times New Roman"/>
          <w:bCs/>
          <w:sz w:val="30"/>
          <w:szCs w:val="30"/>
        </w:rPr>
        <w:t>年度部门决算政府性基金预算财政拨款收入支出情况</w:t>
      </w:r>
    </w:p>
    <w:p w:rsidR="00984CFA" w:rsidRDefault="00984CFA" w:rsidP="00984CFA">
      <w:pPr>
        <w:spacing w:line="600" w:lineRule="exact"/>
        <w:rPr>
          <w:rFonts w:ascii="Calibri" w:eastAsia="楷体_GB2312" w:hAnsi="Calibri" w:cs="Times New Roman"/>
          <w:bCs/>
          <w:sz w:val="30"/>
          <w:szCs w:val="30"/>
        </w:rPr>
      </w:pPr>
      <w:r>
        <w:rPr>
          <w:rFonts w:ascii="Calibri" w:eastAsia="楷体_GB2312" w:hAnsi="Calibri" w:cs="Times New Roman"/>
          <w:bCs/>
          <w:sz w:val="30"/>
          <w:szCs w:val="30"/>
        </w:rPr>
        <w:t>六、</w:t>
      </w:r>
      <w:r>
        <w:rPr>
          <w:rFonts w:ascii="Calibri" w:eastAsia="楷体_GB2312" w:hAnsi="Calibri" w:cs="Times New Roman" w:hint="eastAsia"/>
          <w:bCs/>
          <w:sz w:val="30"/>
          <w:szCs w:val="30"/>
        </w:rPr>
        <w:t>2</w:t>
      </w:r>
      <w:r>
        <w:rPr>
          <w:rFonts w:ascii="Calibri" w:eastAsia="楷体_GB2312" w:hAnsi="Calibri" w:cs="Times New Roman"/>
          <w:bCs/>
          <w:sz w:val="30"/>
          <w:szCs w:val="30"/>
        </w:rPr>
        <w:t>019</w:t>
      </w:r>
      <w:r>
        <w:rPr>
          <w:rFonts w:ascii="Calibri" w:eastAsia="楷体_GB2312" w:hAnsi="Calibri" w:cs="Times New Roman"/>
          <w:bCs/>
          <w:sz w:val="30"/>
          <w:szCs w:val="30"/>
        </w:rPr>
        <w:t>年度一般公共预算财政拨款</w:t>
      </w:r>
      <w:r>
        <w:rPr>
          <w:rFonts w:ascii="Calibri" w:eastAsia="楷体_GB2312" w:hAnsi="Calibri" w:cs="Times New Roman"/>
          <w:bCs/>
          <w:sz w:val="30"/>
          <w:szCs w:val="30"/>
        </w:rPr>
        <w:t>“</w:t>
      </w:r>
      <w:r>
        <w:rPr>
          <w:rFonts w:ascii="Calibri" w:eastAsia="楷体_GB2312" w:hAnsi="Calibri" w:cs="Times New Roman"/>
          <w:bCs/>
          <w:sz w:val="30"/>
          <w:szCs w:val="30"/>
        </w:rPr>
        <w:t>三公</w:t>
      </w:r>
      <w:r>
        <w:rPr>
          <w:rFonts w:ascii="Calibri" w:eastAsia="楷体_GB2312" w:hAnsi="Calibri" w:cs="Times New Roman"/>
          <w:bCs/>
          <w:sz w:val="30"/>
          <w:szCs w:val="30"/>
        </w:rPr>
        <w:t>”</w:t>
      </w:r>
      <w:r>
        <w:rPr>
          <w:rFonts w:ascii="Calibri" w:eastAsia="楷体_GB2312" w:hAnsi="Calibri" w:cs="Times New Roman"/>
          <w:bCs/>
          <w:sz w:val="30"/>
          <w:szCs w:val="30"/>
        </w:rPr>
        <w:t>经费决算情况说明</w:t>
      </w:r>
    </w:p>
    <w:p w:rsidR="00984CFA" w:rsidRDefault="00984CFA" w:rsidP="00984CFA">
      <w:pPr>
        <w:spacing w:line="600" w:lineRule="exact"/>
        <w:rPr>
          <w:rFonts w:ascii="Calibri" w:eastAsia="楷体_GB2312" w:hAnsi="Calibri" w:cs="Times New Roman"/>
          <w:bCs/>
          <w:color w:val="000000"/>
          <w:sz w:val="30"/>
          <w:szCs w:val="30"/>
        </w:rPr>
      </w:pPr>
      <w:r>
        <w:rPr>
          <w:rFonts w:ascii="Calibri" w:eastAsia="楷体_GB2312" w:hAnsi="Calibri" w:cs="Times New Roman"/>
          <w:bCs/>
          <w:color w:val="000000"/>
          <w:sz w:val="30"/>
          <w:szCs w:val="30"/>
        </w:rPr>
        <w:t>七、</w:t>
      </w:r>
      <w:r>
        <w:rPr>
          <w:rFonts w:ascii="Calibri" w:eastAsia="楷体_GB2312" w:hAnsi="Calibri" w:cs="Times New Roman" w:hint="eastAsia"/>
          <w:bCs/>
          <w:sz w:val="30"/>
          <w:szCs w:val="30"/>
        </w:rPr>
        <w:t>其他重要事项的情况说明</w:t>
      </w:r>
    </w:p>
    <w:p w:rsidR="00984CFA" w:rsidRDefault="00984CFA" w:rsidP="00984CFA">
      <w:pPr>
        <w:spacing w:line="600" w:lineRule="exact"/>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（一）机关运行经费支出情况</w:t>
      </w:r>
    </w:p>
    <w:p w:rsidR="00984CFA" w:rsidRDefault="00984CFA" w:rsidP="00984CFA">
      <w:pPr>
        <w:spacing w:line="600" w:lineRule="exact"/>
        <w:rPr>
          <w:rFonts w:ascii="仿宋_GB2312" w:eastAsia="仿宋_GB2312" w:hAnsi="仿宋_GB2312" w:cs="仿宋_GB2312" w:hint="eastAsia"/>
          <w:bCs/>
        </w:rPr>
      </w:pPr>
      <w:r>
        <w:rPr>
          <w:rFonts w:ascii="仿宋_GB2312" w:eastAsia="仿宋_GB2312" w:hAnsi="仿宋_GB2312" w:cs="仿宋_GB2312" w:hint="eastAsia"/>
          <w:bCs/>
          <w:color w:val="000000"/>
          <w:sz w:val="30"/>
          <w:szCs w:val="30"/>
        </w:rPr>
        <w:t>（二）政府采购支出情况</w:t>
      </w:r>
    </w:p>
    <w:p w:rsidR="00984CFA" w:rsidRDefault="00984CFA" w:rsidP="00984CFA">
      <w:pPr>
        <w:spacing w:line="600" w:lineRule="exact"/>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（三）国有资产占有使用情况</w:t>
      </w:r>
    </w:p>
    <w:p w:rsidR="00984CFA" w:rsidRDefault="00984CFA" w:rsidP="00984CFA">
      <w:pPr>
        <w:spacing w:line="600" w:lineRule="exact"/>
        <w:rPr>
          <w:rFonts w:ascii="仿宋_GB2312" w:eastAsia="仿宋_GB2312" w:hAnsi="仿宋_GB2312" w:cs="仿宋_GB2312" w:hint="eastAsia"/>
          <w:sz w:val="30"/>
          <w:szCs w:val="30"/>
        </w:rPr>
      </w:pPr>
      <w:r>
        <w:rPr>
          <w:rFonts w:ascii="仿宋_GB2312" w:eastAsia="仿宋_GB2312" w:hAnsi="仿宋_GB2312" w:cs="仿宋_GB2312" w:hint="eastAsia"/>
          <w:color w:val="000000"/>
          <w:sz w:val="30"/>
          <w:szCs w:val="30"/>
        </w:rPr>
        <w:t>（四）预算绩效管理工作开展情况</w:t>
      </w:r>
    </w:p>
    <w:p w:rsidR="00984CFA" w:rsidRDefault="00984CFA" w:rsidP="00984CFA">
      <w:pPr>
        <w:spacing w:line="60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（五）教育、医疗卫生、社会保障和就业、住房保障、涉农补贴等民生支出情况</w:t>
      </w:r>
    </w:p>
    <w:p w:rsidR="00984CFA" w:rsidRDefault="00984CFA" w:rsidP="00984CFA">
      <w:pPr>
        <w:spacing w:line="600" w:lineRule="exact"/>
        <w:rPr>
          <w:rFonts w:ascii="仿宋_GB2312" w:eastAsia="仿宋_GB2312" w:hAnsi="仿宋_GB2312" w:cs="仿宋_GB2312" w:hint="eastAsia"/>
          <w:bCs/>
          <w:color w:val="000000"/>
          <w:sz w:val="30"/>
          <w:szCs w:val="30"/>
        </w:rPr>
      </w:pPr>
      <w:r>
        <w:rPr>
          <w:rFonts w:ascii="仿宋_GB2312" w:eastAsia="仿宋_GB2312" w:hAnsi="仿宋_GB2312" w:cs="仿宋_GB2312" w:hint="eastAsia"/>
          <w:bCs/>
          <w:color w:val="000000"/>
          <w:sz w:val="30"/>
          <w:szCs w:val="30"/>
        </w:rPr>
        <w:t>（六）专业</w:t>
      </w:r>
      <w:proofErr w:type="gramStart"/>
      <w:r>
        <w:rPr>
          <w:rFonts w:ascii="仿宋_GB2312" w:eastAsia="仿宋_GB2312" w:hAnsi="仿宋_GB2312" w:cs="仿宋_GB2312" w:hint="eastAsia"/>
          <w:bCs/>
          <w:color w:val="000000"/>
          <w:sz w:val="30"/>
          <w:szCs w:val="30"/>
        </w:rPr>
        <w:t>性名</w:t>
      </w:r>
      <w:proofErr w:type="gramEnd"/>
      <w:r>
        <w:rPr>
          <w:rFonts w:ascii="仿宋_GB2312" w:eastAsia="仿宋_GB2312" w:hAnsi="仿宋_GB2312" w:cs="仿宋_GB2312" w:hint="eastAsia"/>
          <w:bCs/>
          <w:color w:val="000000"/>
          <w:sz w:val="30"/>
          <w:szCs w:val="30"/>
        </w:rPr>
        <w:t>词解释</w:t>
      </w:r>
    </w:p>
    <w:p w:rsidR="00984CFA" w:rsidRDefault="00984CFA" w:rsidP="00984CFA">
      <w:pPr>
        <w:spacing w:line="600" w:lineRule="exact"/>
        <w:rPr>
          <w:rFonts w:ascii="仿宋_GB2312" w:eastAsia="仿宋_GB2312" w:hAnsi="仿宋_GB2312" w:cs="仿宋_GB2312" w:hint="eastAsia"/>
          <w:bCs/>
          <w:color w:val="000000"/>
          <w:sz w:val="30"/>
          <w:szCs w:val="30"/>
        </w:rPr>
      </w:pPr>
      <w:r>
        <w:rPr>
          <w:rFonts w:ascii="仿宋_GB2312" w:eastAsia="仿宋_GB2312" w:hAnsi="仿宋_GB2312" w:cs="仿宋_GB2312" w:hint="eastAsia"/>
          <w:bCs/>
          <w:color w:val="000000"/>
          <w:sz w:val="30"/>
          <w:szCs w:val="30"/>
        </w:rPr>
        <w:t>（七）关于空表的说明</w:t>
      </w:r>
    </w:p>
    <w:p w:rsidR="00984CFA" w:rsidRDefault="00984CFA" w:rsidP="00984CFA">
      <w:pPr>
        <w:spacing w:line="600" w:lineRule="exact"/>
        <w:rPr>
          <w:rFonts w:ascii="仿宋_GB2312" w:eastAsia="仿宋_GB2312" w:hAnsi="仿宋_GB2312" w:cs="仿宋_GB2312" w:hint="eastAsia"/>
          <w:bCs/>
          <w:color w:val="000000"/>
          <w:sz w:val="30"/>
          <w:szCs w:val="30"/>
        </w:rPr>
      </w:pPr>
    </w:p>
    <w:p w:rsidR="00984CFA" w:rsidRDefault="00984CFA" w:rsidP="00984CFA">
      <w:pPr>
        <w:spacing w:line="600" w:lineRule="exact"/>
        <w:rPr>
          <w:rFonts w:ascii="仿宋_GB2312" w:eastAsia="仿宋_GB2312" w:hAnsi="仿宋_GB2312" w:cs="仿宋_GB2312" w:hint="eastAsia"/>
          <w:bCs/>
          <w:color w:val="000000"/>
          <w:sz w:val="30"/>
          <w:szCs w:val="30"/>
        </w:rPr>
      </w:pPr>
    </w:p>
    <w:p w:rsidR="00984CFA" w:rsidRDefault="00984CFA" w:rsidP="00984CFA">
      <w:pPr>
        <w:spacing w:line="600" w:lineRule="exact"/>
        <w:rPr>
          <w:rFonts w:ascii="仿宋_GB2312" w:eastAsia="仿宋_GB2312" w:hAnsi="仿宋_GB2312" w:cs="仿宋_GB2312" w:hint="eastAsia"/>
          <w:bCs/>
          <w:color w:val="000000"/>
          <w:sz w:val="30"/>
          <w:szCs w:val="30"/>
        </w:rPr>
      </w:pPr>
    </w:p>
    <w:p w:rsidR="00984CFA" w:rsidRDefault="00984CFA" w:rsidP="00984CFA">
      <w:pPr>
        <w:adjustRightInd w:val="0"/>
        <w:spacing w:line="580" w:lineRule="exact"/>
        <w:jc w:val="center"/>
        <w:textAlignment w:val="baseline"/>
        <w:rPr>
          <w:rFonts w:ascii="黑体" w:eastAsia="黑体" w:hAnsi="黑体" w:cs="Times New Roman"/>
          <w:kern w:val="0"/>
          <w:sz w:val="30"/>
          <w:szCs w:val="30"/>
        </w:rPr>
      </w:pPr>
      <w:r>
        <w:rPr>
          <w:rFonts w:ascii="黑体" w:eastAsia="黑体" w:hAnsi="黑体" w:cs="Times New Roman" w:hint="eastAsia"/>
          <w:kern w:val="0"/>
          <w:sz w:val="30"/>
          <w:szCs w:val="30"/>
        </w:rPr>
        <w:t>第一部分 天津市人力资源和社会保障宣传教育科研中心概况</w:t>
      </w:r>
    </w:p>
    <w:p w:rsidR="00984CFA" w:rsidRPr="00984CFA" w:rsidRDefault="00984CFA">
      <w:pPr>
        <w:adjustRightInd w:val="0"/>
        <w:spacing w:line="580" w:lineRule="exact"/>
        <w:jc w:val="center"/>
        <w:textAlignment w:val="baseline"/>
        <w:rPr>
          <w:rFonts w:ascii="黑体" w:eastAsia="黑体" w:hAnsi="黑体" w:cs="Times New Roman"/>
          <w:kern w:val="0"/>
          <w:sz w:val="30"/>
          <w:szCs w:val="30"/>
        </w:rPr>
      </w:pPr>
    </w:p>
    <w:p w:rsidR="00A50C87" w:rsidRDefault="00DB71A8" w:rsidP="00ED435E">
      <w:pPr>
        <w:adjustRightInd w:val="0"/>
        <w:spacing w:line="580" w:lineRule="exact"/>
        <w:ind w:firstLineChars="200" w:firstLine="600"/>
        <w:jc w:val="left"/>
        <w:textAlignment w:val="baseline"/>
        <w:rPr>
          <w:rFonts w:ascii="楷体_GB2312" w:eastAsia="楷体_GB2312" w:hAnsi="Times New Roman" w:cs="Times New Roman"/>
          <w:b/>
          <w:kern w:val="0"/>
          <w:sz w:val="30"/>
          <w:szCs w:val="30"/>
        </w:rPr>
      </w:pPr>
      <w:r>
        <w:rPr>
          <w:rFonts w:ascii="楷体_GB2312" w:eastAsia="楷体_GB2312" w:hAnsi="Times New Roman" w:cs="Times New Roman" w:hint="eastAsia"/>
          <w:b/>
          <w:kern w:val="0"/>
          <w:sz w:val="30"/>
          <w:szCs w:val="30"/>
        </w:rPr>
        <w:t>一、主要职责</w:t>
      </w:r>
    </w:p>
    <w:p w:rsidR="00A50C87" w:rsidRDefault="00DB71A8">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市人力资源和社会保障宣教教育科研中心为正处级财政补助事业单位，归属天津市人力资源和社会保障局管理，在履职尽责过程中认真贯彻落实市人力资源和社会保障局的决策部署。主要职责是：</w:t>
      </w:r>
    </w:p>
    <w:p w:rsidR="00A50C87" w:rsidRDefault="00DB71A8">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1、承担人力社保系统宣传组织实施工作。</w:t>
      </w:r>
    </w:p>
    <w:p w:rsidR="00A50C87" w:rsidRDefault="00DB71A8">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2、承担人力社保系统干部职工的业务和技术培训的具体组织实施工作。</w:t>
      </w:r>
    </w:p>
    <w:p w:rsidR="00A50C87" w:rsidRDefault="00DB71A8">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3、承担人力社保资源和社会保障领域的科学研究和成果推广应用工作。</w:t>
      </w:r>
    </w:p>
    <w:p w:rsidR="00A50C87" w:rsidRDefault="00DB71A8">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4、承担公务员能力建设和教育培训方面的有关事务性工作。</w:t>
      </w:r>
    </w:p>
    <w:p w:rsidR="00A50C87" w:rsidRDefault="00DB71A8" w:rsidP="00ED435E">
      <w:pPr>
        <w:adjustRightInd w:val="0"/>
        <w:spacing w:line="580" w:lineRule="exact"/>
        <w:ind w:firstLineChars="200" w:firstLine="600"/>
        <w:jc w:val="left"/>
        <w:textAlignment w:val="baseline"/>
        <w:rPr>
          <w:rFonts w:ascii="楷体_GB2312" w:eastAsia="楷体_GB2312" w:hAnsi="Times New Roman" w:cs="Times New Roman"/>
          <w:b/>
          <w:kern w:val="0"/>
          <w:sz w:val="30"/>
          <w:szCs w:val="30"/>
        </w:rPr>
      </w:pPr>
      <w:r>
        <w:rPr>
          <w:rFonts w:ascii="楷体_GB2312" w:eastAsia="楷体_GB2312" w:hAnsi="Times New Roman" w:cs="Times New Roman" w:hint="eastAsia"/>
          <w:b/>
          <w:kern w:val="0"/>
          <w:sz w:val="30"/>
          <w:szCs w:val="30"/>
        </w:rPr>
        <w:t>二、机构设置</w:t>
      </w:r>
    </w:p>
    <w:p w:rsidR="00A50C87" w:rsidRDefault="00DB71A8">
      <w:pPr>
        <w:snapToGrid w:val="0"/>
        <w:spacing w:line="600" w:lineRule="exact"/>
        <w:ind w:firstLineChars="200" w:firstLine="640"/>
        <w:rPr>
          <w:rFonts w:ascii="Times New Roman" w:eastAsia="仿宋_GB2312" w:hAnsi="Times New Roman" w:cs="Times New Roman"/>
          <w:sz w:val="32"/>
          <w:szCs w:val="32"/>
        </w:rPr>
      </w:pPr>
      <w:r>
        <w:rPr>
          <w:rFonts w:ascii="仿宋" w:eastAsia="仿宋" w:hAnsi="仿宋" w:hint="eastAsia"/>
          <w:sz w:val="32"/>
          <w:szCs w:val="32"/>
        </w:rPr>
        <w:t>根据上述职责，</w:t>
      </w:r>
      <w:r w:rsidR="00ED435E">
        <w:rPr>
          <w:rFonts w:ascii="仿宋" w:eastAsia="仿宋" w:hAnsi="仿宋" w:hint="eastAsia"/>
          <w:sz w:val="32"/>
          <w:szCs w:val="32"/>
        </w:rPr>
        <w:t>2019</w:t>
      </w:r>
      <w:r>
        <w:rPr>
          <w:rFonts w:ascii="仿宋" w:eastAsia="仿宋" w:hAnsi="仿宋" w:hint="eastAsia"/>
          <w:sz w:val="32"/>
          <w:szCs w:val="32"/>
        </w:rPr>
        <w:t>年度天津市人力资源和社会保障宣传教育科研中心</w:t>
      </w:r>
      <w:r>
        <w:rPr>
          <w:rFonts w:ascii="Times New Roman" w:eastAsia="仿宋_GB2312" w:hAnsi="Times New Roman" w:cs="Times New Roman" w:hint="eastAsia"/>
          <w:sz w:val="32"/>
          <w:szCs w:val="32"/>
        </w:rPr>
        <w:t>内设</w:t>
      </w:r>
      <w:r>
        <w:rPr>
          <w:rFonts w:ascii="Times New Roman" w:eastAsia="仿宋" w:hAnsi="Times New Roman" w:cs="Times New Roman" w:hint="eastAsia"/>
          <w:sz w:val="32"/>
          <w:szCs w:val="32"/>
        </w:rPr>
        <w:t>9</w:t>
      </w:r>
      <w:r>
        <w:rPr>
          <w:rFonts w:ascii="仿宋" w:eastAsia="仿宋" w:hAnsi="仿宋" w:hint="eastAsia"/>
          <w:sz w:val="32"/>
          <w:szCs w:val="32"/>
        </w:rPr>
        <w:t>个科室，分别为综合</w:t>
      </w:r>
      <w:r w:rsidR="00ED435E">
        <w:rPr>
          <w:rFonts w:ascii="Times New Roman" w:eastAsia="仿宋_GB2312" w:hAnsi="Times New Roman" w:cs="Times New Roman"/>
          <w:sz w:val="32"/>
          <w:szCs w:val="32"/>
        </w:rPr>
        <w:t>办公室、</w:t>
      </w:r>
      <w:r w:rsidR="00ED435E">
        <w:rPr>
          <w:rFonts w:ascii="Times New Roman" w:eastAsia="仿宋_GB2312" w:hAnsi="Times New Roman" w:cs="Times New Roman" w:hint="eastAsia"/>
          <w:sz w:val="32"/>
          <w:szCs w:val="32"/>
        </w:rPr>
        <w:t>党建科、财务</w:t>
      </w:r>
      <w:r>
        <w:rPr>
          <w:rFonts w:ascii="Times New Roman" w:eastAsia="仿宋_GB2312" w:hAnsi="Times New Roman" w:cs="Times New Roman"/>
          <w:sz w:val="32"/>
          <w:szCs w:val="32"/>
        </w:rPr>
        <w:t>科、培训</w:t>
      </w:r>
      <w:r w:rsidR="00ED435E">
        <w:rPr>
          <w:rFonts w:ascii="Times New Roman" w:eastAsia="仿宋_GB2312" w:hAnsi="Times New Roman" w:cs="Times New Roman" w:hint="eastAsia"/>
          <w:sz w:val="32"/>
          <w:szCs w:val="32"/>
        </w:rPr>
        <w:t>教育</w:t>
      </w:r>
      <w:r>
        <w:rPr>
          <w:rFonts w:ascii="Times New Roman" w:eastAsia="仿宋_GB2312" w:hAnsi="Times New Roman" w:cs="Times New Roman"/>
          <w:sz w:val="32"/>
          <w:szCs w:val="32"/>
        </w:rPr>
        <w:t>科、</w:t>
      </w:r>
      <w:r>
        <w:rPr>
          <w:rFonts w:ascii="Times New Roman" w:eastAsia="仿宋_GB2312" w:hAnsi="Times New Roman" w:cs="Times New Roman" w:hint="eastAsia"/>
          <w:sz w:val="32"/>
          <w:szCs w:val="32"/>
        </w:rPr>
        <w:t>宣传科、</w:t>
      </w:r>
      <w:r>
        <w:rPr>
          <w:rFonts w:ascii="Times New Roman" w:eastAsia="仿宋_GB2312" w:hAnsi="Times New Roman" w:cs="Times New Roman"/>
          <w:sz w:val="32"/>
          <w:szCs w:val="32"/>
        </w:rPr>
        <w:t>科研</w:t>
      </w:r>
      <w:proofErr w:type="gramStart"/>
      <w:r w:rsidR="00ED435E">
        <w:rPr>
          <w:rFonts w:ascii="Times New Roman" w:eastAsia="仿宋_GB2312" w:hAnsi="Times New Roman" w:cs="Times New Roman" w:hint="eastAsia"/>
          <w:sz w:val="32"/>
          <w:szCs w:val="32"/>
        </w:rPr>
        <w:t>一</w:t>
      </w:r>
      <w:proofErr w:type="gramEnd"/>
      <w:r>
        <w:rPr>
          <w:rFonts w:ascii="Times New Roman" w:eastAsia="仿宋_GB2312" w:hAnsi="Times New Roman" w:cs="Times New Roman" w:hint="eastAsia"/>
          <w:sz w:val="32"/>
          <w:szCs w:val="32"/>
        </w:rPr>
        <w:t>科、</w:t>
      </w:r>
      <w:r w:rsidR="00ED435E">
        <w:rPr>
          <w:rFonts w:ascii="Times New Roman" w:eastAsia="仿宋_GB2312" w:hAnsi="Times New Roman" w:cs="Times New Roman" w:hint="eastAsia"/>
          <w:sz w:val="32"/>
          <w:szCs w:val="32"/>
        </w:rPr>
        <w:t>科研二科、科研三科、</w:t>
      </w:r>
      <w:r>
        <w:rPr>
          <w:rFonts w:ascii="Times New Roman" w:eastAsia="仿宋_GB2312" w:hAnsi="Times New Roman" w:cs="Times New Roman" w:hint="eastAsia"/>
          <w:sz w:val="32"/>
          <w:szCs w:val="32"/>
        </w:rPr>
        <w:t>学会事务</w:t>
      </w:r>
      <w:r>
        <w:rPr>
          <w:rFonts w:ascii="Times New Roman" w:eastAsia="仿宋_GB2312" w:hAnsi="Times New Roman" w:cs="Times New Roman"/>
          <w:sz w:val="32"/>
          <w:szCs w:val="32"/>
        </w:rPr>
        <w:t>科</w:t>
      </w:r>
      <w:r>
        <w:rPr>
          <w:rFonts w:ascii="Times New Roman" w:eastAsia="仿宋_GB2312" w:hAnsi="Times New Roman" w:cs="Times New Roman" w:hint="eastAsia"/>
          <w:sz w:val="32"/>
          <w:szCs w:val="32"/>
        </w:rPr>
        <w:t>。</w:t>
      </w:r>
    </w:p>
    <w:p w:rsidR="00A50C87" w:rsidRDefault="00A50C87">
      <w:pPr>
        <w:snapToGrid w:val="0"/>
        <w:spacing w:line="600" w:lineRule="exact"/>
        <w:ind w:firstLineChars="200" w:firstLine="640"/>
        <w:rPr>
          <w:rFonts w:ascii="Times New Roman" w:eastAsia="仿宋_GB2312" w:hAnsi="Times New Roman" w:cs="Times New Roman" w:hint="eastAsia"/>
          <w:sz w:val="32"/>
          <w:szCs w:val="32"/>
        </w:rPr>
      </w:pPr>
    </w:p>
    <w:p w:rsidR="00984CFA" w:rsidRDefault="00984CFA">
      <w:pPr>
        <w:snapToGrid w:val="0"/>
        <w:spacing w:line="600" w:lineRule="exact"/>
        <w:ind w:firstLineChars="200" w:firstLine="640"/>
        <w:rPr>
          <w:rFonts w:ascii="Times New Roman" w:eastAsia="仿宋_GB2312" w:hAnsi="Times New Roman" w:cs="Times New Roman" w:hint="eastAsia"/>
          <w:sz w:val="32"/>
          <w:szCs w:val="32"/>
        </w:rPr>
      </w:pPr>
    </w:p>
    <w:p w:rsidR="00984CFA" w:rsidRDefault="00984CFA">
      <w:pPr>
        <w:snapToGrid w:val="0"/>
        <w:spacing w:line="600" w:lineRule="exact"/>
        <w:ind w:firstLineChars="200" w:firstLine="640"/>
        <w:rPr>
          <w:rFonts w:ascii="Times New Roman" w:eastAsia="仿宋_GB2312" w:hAnsi="Times New Roman" w:cs="Times New Roman"/>
          <w:sz w:val="32"/>
          <w:szCs w:val="32"/>
        </w:rPr>
      </w:pPr>
    </w:p>
    <w:p w:rsidR="00A50C87" w:rsidRDefault="00DB71A8">
      <w:pPr>
        <w:adjustRightInd w:val="0"/>
        <w:spacing w:line="580" w:lineRule="exact"/>
        <w:ind w:firstLineChars="200" w:firstLine="600"/>
        <w:jc w:val="left"/>
        <w:textAlignment w:val="baseline"/>
        <w:rPr>
          <w:rFonts w:ascii="黑体" w:eastAsia="黑体" w:hAnsi="Times New Roman" w:cs="Times New Roman"/>
          <w:kern w:val="0"/>
          <w:sz w:val="30"/>
          <w:szCs w:val="30"/>
        </w:rPr>
      </w:pPr>
      <w:r>
        <w:rPr>
          <w:rFonts w:ascii="黑体" w:eastAsia="黑体" w:hAnsi="Times New Roman" w:cs="Times New Roman" w:hint="eastAsia"/>
          <w:kern w:val="0"/>
          <w:sz w:val="30"/>
          <w:szCs w:val="30"/>
        </w:rPr>
        <w:lastRenderedPageBreak/>
        <w:t>第二部分 天津市人力资源和社会保障宣传教育科研中心</w:t>
      </w:r>
      <w:r w:rsidR="00ED435E">
        <w:rPr>
          <w:rFonts w:ascii="黑体" w:eastAsia="黑体" w:hAnsi="Times New Roman" w:cs="Times New Roman" w:hint="eastAsia"/>
          <w:kern w:val="0"/>
          <w:sz w:val="30"/>
          <w:szCs w:val="30"/>
        </w:rPr>
        <w:t>2019</w:t>
      </w:r>
      <w:r>
        <w:rPr>
          <w:rFonts w:ascii="黑体" w:eastAsia="黑体" w:hAnsi="Times New Roman" w:cs="Times New Roman" w:hint="eastAsia"/>
          <w:kern w:val="0"/>
          <w:sz w:val="30"/>
          <w:szCs w:val="30"/>
        </w:rPr>
        <w:t>年度部门决算情况说明</w:t>
      </w:r>
    </w:p>
    <w:p w:rsidR="00A50C87" w:rsidRDefault="00A50C87">
      <w:pPr>
        <w:adjustRightInd w:val="0"/>
        <w:spacing w:line="580" w:lineRule="exact"/>
        <w:ind w:firstLineChars="200" w:firstLine="600"/>
        <w:jc w:val="left"/>
        <w:textAlignment w:val="baseline"/>
        <w:rPr>
          <w:rFonts w:ascii="黑体" w:eastAsia="黑体" w:hAnsi="Times New Roman" w:cs="Times New Roman"/>
          <w:kern w:val="0"/>
          <w:sz w:val="30"/>
          <w:szCs w:val="30"/>
        </w:rPr>
      </w:pPr>
    </w:p>
    <w:p w:rsidR="00A50C87" w:rsidRDefault="00DB71A8">
      <w:pPr>
        <w:adjustRightInd w:val="0"/>
        <w:spacing w:line="580" w:lineRule="exact"/>
        <w:ind w:firstLine="600"/>
        <w:jc w:val="left"/>
        <w:textAlignment w:val="baseline"/>
        <w:rPr>
          <w:rFonts w:ascii="楷体_GB2312" w:eastAsia="楷体_GB2312" w:hAnsi="Times New Roman" w:cs="Times New Roman"/>
          <w:b/>
          <w:kern w:val="0"/>
          <w:sz w:val="30"/>
          <w:szCs w:val="30"/>
        </w:rPr>
      </w:pPr>
      <w:r>
        <w:rPr>
          <w:rFonts w:ascii="楷体_GB2312" w:eastAsia="楷体_GB2312" w:hAnsi="Times New Roman" w:cs="Times New Roman" w:hint="eastAsia"/>
          <w:b/>
          <w:kern w:val="0"/>
          <w:sz w:val="30"/>
          <w:szCs w:val="30"/>
        </w:rPr>
        <w:t>一、</w:t>
      </w:r>
      <w:r w:rsidR="00ED435E">
        <w:rPr>
          <w:rFonts w:ascii="楷体_GB2312" w:eastAsia="楷体_GB2312" w:hAnsi="Times New Roman" w:cs="Times New Roman" w:hint="eastAsia"/>
          <w:b/>
          <w:kern w:val="0"/>
          <w:sz w:val="30"/>
          <w:szCs w:val="30"/>
        </w:rPr>
        <w:t>2019</w:t>
      </w:r>
      <w:r>
        <w:rPr>
          <w:rFonts w:ascii="楷体_GB2312" w:eastAsia="楷体_GB2312" w:hAnsi="Times New Roman" w:cs="Times New Roman" w:hint="eastAsia"/>
          <w:b/>
          <w:kern w:val="0"/>
          <w:sz w:val="30"/>
          <w:szCs w:val="30"/>
        </w:rPr>
        <w:t>年度部门决算收入情况</w:t>
      </w:r>
    </w:p>
    <w:p w:rsidR="00A50C87" w:rsidRDefault="00DB71A8">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天津市人力资源和社会保障宣传教育科研中心</w:t>
      </w:r>
      <w:r w:rsidR="00ED435E">
        <w:rPr>
          <w:rFonts w:ascii="仿宋_GB2312" w:eastAsia="仿宋_GB2312" w:hAnsi="Times New Roman" w:cs="Times New Roman" w:hint="eastAsia"/>
          <w:kern w:val="0"/>
          <w:sz w:val="30"/>
          <w:szCs w:val="30"/>
        </w:rPr>
        <w:t>2019</w:t>
      </w:r>
      <w:r>
        <w:rPr>
          <w:rFonts w:ascii="仿宋_GB2312" w:eastAsia="仿宋_GB2312" w:hAnsi="Times New Roman" w:cs="Times New Roman" w:hint="eastAsia"/>
          <w:kern w:val="0"/>
          <w:sz w:val="30"/>
          <w:szCs w:val="30"/>
        </w:rPr>
        <w:t>年度部门决算收入总计</w:t>
      </w:r>
      <w:r w:rsidR="00434531">
        <w:rPr>
          <w:rFonts w:ascii="仿宋_GB2312" w:eastAsia="仿宋_GB2312" w:hAnsi="Times New Roman" w:cs="Times New Roman" w:hint="eastAsia"/>
          <w:kern w:val="0"/>
          <w:sz w:val="30"/>
          <w:szCs w:val="30"/>
        </w:rPr>
        <w:t>10673379.20</w:t>
      </w:r>
      <w:r>
        <w:rPr>
          <w:rFonts w:ascii="仿宋_GB2312" w:eastAsia="仿宋_GB2312" w:hAnsi="Times New Roman" w:cs="Times New Roman" w:hint="eastAsia"/>
          <w:kern w:val="0"/>
          <w:sz w:val="30"/>
          <w:szCs w:val="30"/>
        </w:rPr>
        <w:t>元，与</w:t>
      </w:r>
      <w:r w:rsidR="003C30BA">
        <w:rPr>
          <w:rFonts w:ascii="仿宋_GB2312" w:eastAsia="仿宋_GB2312" w:hAnsi="Times New Roman" w:cs="Times New Roman" w:hint="eastAsia"/>
          <w:kern w:val="0"/>
          <w:sz w:val="30"/>
          <w:szCs w:val="30"/>
        </w:rPr>
        <w:t>2018</w:t>
      </w:r>
      <w:r>
        <w:rPr>
          <w:rFonts w:ascii="仿宋_GB2312" w:eastAsia="仿宋_GB2312" w:hAnsi="Times New Roman" w:cs="Times New Roman" w:hint="eastAsia"/>
          <w:kern w:val="0"/>
          <w:sz w:val="30"/>
          <w:szCs w:val="30"/>
        </w:rPr>
        <w:t>年决算相比</w:t>
      </w:r>
      <w:r w:rsidR="00434531">
        <w:rPr>
          <w:rFonts w:ascii="仿宋_GB2312" w:eastAsia="仿宋_GB2312" w:hAnsi="Times New Roman" w:cs="Times New Roman" w:hint="eastAsia"/>
          <w:kern w:val="0"/>
          <w:sz w:val="30"/>
          <w:szCs w:val="30"/>
        </w:rPr>
        <w:t>减少2888255.65</w:t>
      </w:r>
      <w:r>
        <w:rPr>
          <w:rFonts w:ascii="仿宋_GB2312" w:eastAsia="仿宋_GB2312" w:hAnsi="Times New Roman" w:cs="Times New Roman" w:hint="eastAsia"/>
          <w:kern w:val="0"/>
          <w:sz w:val="30"/>
          <w:szCs w:val="30"/>
        </w:rPr>
        <w:t>元，其中，财政拨款收入</w:t>
      </w:r>
      <w:r w:rsidR="00434531">
        <w:rPr>
          <w:rFonts w:ascii="仿宋_GB2312" w:eastAsia="仿宋_GB2312" w:hAnsi="Times New Roman" w:cs="Times New Roman" w:hint="eastAsia"/>
          <w:kern w:val="0"/>
          <w:sz w:val="30"/>
          <w:szCs w:val="30"/>
        </w:rPr>
        <w:t>10488315.68</w:t>
      </w:r>
      <w:r>
        <w:rPr>
          <w:rFonts w:ascii="仿宋_GB2312" w:eastAsia="仿宋_GB2312" w:hAnsi="Times New Roman" w:cs="Times New Roman" w:hint="eastAsia"/>
          <w:kern w:val="0"/>
          <w:sz w:val="30"/>
          <w:szCs w:val="30"/>
        </w:rPr>
        <w:t>元，占</w:t>
      </w:r>
      <w:r w:rsidR="00434531">
        <w:rPr>
          <w:rFonts w:ascii="仿宋_GB2312" w:eastAsia="仿宋_GB2312" w:hAnsi="Times New Roman" w:cs="Times New Roman" w:hint="eastAsia"/>
          <w:kern w:val="0"/>
          <w:sz w:val="30"/>
          <w:szCs w:val="30"/>
        </w:rPr>
        <w:t>98.27</w:t>
      </w:r>
      <w:r>
        <w:rPr>
          <w:rFonts w:ascii="仿宋_GB2312" w:eastAsia="仿宋_GB2312" w:hAnsi="Times New Roman" w:cs="Times New Roman" w:hint="eastAsia"/>
          <w:kern w:val="0"/>
          <w:sz w:val="30"/>
          <w:szCs w:val="30"/>
        </w:rPr>
        <w:t>%；其他收入</w:t>
      </w:r>
      <w:r w:rsidR="00434531">
        <w:rPr>
          <w:rFonts w:ascii="仿宋_GB2312" w:eastAsia="仿宋_GB2312" w:hAnsi="Times New Roman" w:cs="Times New Roman" w:hint="eastAsia"/>
          <w:kern w:val="0"/>
          <w:sz w:val="30"/>
          <w:szCs w:val="30"/>
        </w:rPr>
        <w:t>185063.52</w:t>
      </w:r>
      <w:r>
        <w:rPr>
          <w:rFonts w:ascii="仿宋_GB2312" w:eastAsia="仿宋_GB2312" w:hAnsi="Times New Roman" w:cs="Times New Roman" w:hint="eastAsia"/>
          <w:kern w:val="0"/>
          <w:sz w:val="30"/>
          <w:szCs w:val="30"/>
        </w:rPr>
        <w:t>元，占</w:t>
      </w:r>
      <w:r w:rsidR="00434531">
        <w:rPr>
          <w:rFonts w:ascii="仿宋_GB2312" w:eastAsia="仿宋_GB2312" w:hAnsi="Times New Roman" w:cs="Times New Roman" w:hint="eastAsia"/>
          <w:kern w:val="0"/>
          <w:sz w:val="30"/>
          <w:szCs w:val="30"/>
        </w:rPr>
        <w:t>1.73</w:t>
      </w:r>
      <w:r>
        <w:rPr>
          <w:rFonts w:ascii="仿宋_GB2312" w:eastAsia="仿宋_GB2312" w:hAnsi="Times New Roman" w:cs="Times New Roman" w:hint="eastAsia"/>
          <w:kern w:val="0"/>
          <w:sz w:val="30"/>
          <w:szCs w:val="30"/>
        </w:rPr>
        <w:t>%。</w:t>
      </w:r>
    </w:p>
    <w:p w:rsidR="00A50C87" w:rsidRDefault="00DB71A8">
      <w:pPr>
        <w:adjustRightInd w:val="0"/>
        <w:spacing w:line="580" w:lineRule="exact"/>
        <w:ind w:firstLine="600"/>
        <w:jc w:val="left"/>
        <w:textAlignment w:val="baseline"/>
        <w:rPr>
          <w:rFonts w:ascii="楷体_GB2312" w:eastAsia="楷体_GB2312" w:hAnsi="Times New Roman" w:cs="Times New Roman"/>
          <w:b/>
          <w:kern w:val="0"/>
          <w:sz w:val="30"/>
          <w:szCs w:val="30"/>
        </w:rPr>
      </w:pPr>
      <w:r>
        <w:rPr>
          <w:rFonts w:ascii="楷体_GB2312" w:eastAsia="楷体_GB2312" w:hAnsi="Times New Roman" w:cs="Times New Roman" w:hint="eastAsia"/>
          <w:b/>
          <w:kern w:val="0"/>
          <w:sz w:val="30"/>
          <w:szCs w:val="30"/>
        </w:rPr>
        <w:t>二、</w:t>
      </w:r>
      <w:r w:rsidR="00ED435E">
        <w:rPr>
          <w:rFonts w:ascii="楷体_GB2312" w:eastAsia="楷体_GB2312" w:hAnsi="Times New Roman" w:cs="Times New Roman" w:hint="eastAsia"/>
          <w:b/>
          <w:kern w:val="0"/>
          <w:sz w:val="30"/>
          <w:szCs w:val="30"/>
        </w:rPr>
        <w:t>2019</w:t>
      </w:r>
      <w:r>
        <w:rPr>
          <w:rFonts w:ascii="楷体_GB2312" w:eastAsia="楷体_GB2312" w:hAnsi="Times New Roman" w:cs="Times New Roman" w:hint="eastAsia"/>
          <w:b/>
          <w:kern w:val="0"/>
          <w:sz w:val="30"/>
          <w:szCs w:val="30"/>
        </w:rPr>
        <w:t>年度部门决算支出情况</w:t>
      </w:r>
    </w:p>
    <w:p w:rsidR="00A50C87" w:rsidRDefault="00DB71A8">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天津市人力资源和社会保障宣传教育科研中心</w:t>
      </w:r>
      <w:r w:rsidR="00ED435E">
        <w:rPr>
          <w:rFonts w:ascii="仿宋_GB2312" w:eastAsia="仿宋_GB2312" w:hAnsi="Times New Roman" w:cs="Times New Roman" w:hint="eastAsia"/>
          <w:kern w:val="0"/>
          <w:sz w:val="30"/>
          <w:szCs w:val="30"/>
        </w:rPr>
        <w:t>2019</w:t>
      </w:r>
      <w:r>
        <w:rPr>
          <w:rFonts w:ascii="仿宋_GB2312" w:eastAsia="仿宋_GB2312" w:hAnsi="Times New Roman" w:cs="Times New Roman" w:hint="eastAsia"/>
          <w:kern w:val="0"/>
          <w:sz w:val="30"/>
          <w:szCs w:val="30"/>
        </w:rPr>
        <w:t>年度部门决算支出总计</w:t>
      </w:r>
      <w:r w:rsidR="00504F2D">
        <w:rPr>
          <w:rFonts w:ascii="仿宋_GB2312" w:eastAsia="仿宋_GB2312" w:hAnsi="Times New Roman" w:cs="Times New Roman" w:hint="eastAsia"/>
          <w:kern w:val="0"/>
          <w:sz w:val="30"/>
          <w:szCs w:val="30"/>
        </w:rPr>
        <w:t>10601538.88</w:t>
      </w:r>
      <w:r>
        <w:rPr>
          <w:rFonts w:ascii="仿宋_GB2312" w:eastAsia="仿宋_GB2312" w:hAnsi="Times New Roman" w:cs="Times New Roman" w:hint="eastAsia"/>
          <w:kern w:val="0"/>
          <w:sz w:val="30"/>
          <w:szCs w:val="30"/>
        </w:rPr>
        <w:t>元，与</w:t>
      </w:r>
      <w:r w:rsidR="003C30BA">
        <w:rPr>
          <w:rFonts w:ascii="仿宋_GB2312" w:eastAsia="仿宋_GB2312" w:hAnsi="Times New Roman" w:cs="Times New Roman" w:hint="eastAsia"/>
          <w:kern w:val="0"/>
          <w:sz w:val="30"/>
          <w:szCs w:val="30"/>
        </w:rPr>
        <w:t>2018</w:t>
      </w:r>
      <w:r>
        <w:rPr>
          <w:rFonts w:ascii="仿宋_GB2312" w:eastAsia="仿宋_GB2312" w:hAnsi="Times New Roman" w:cs="Times New Roman" w:hint="eastAsia"/>
          <w:kern w:val="0"/>
          <w:sz w:val="30"/>
          <w:szCs w:val="30"/>
        </w:rPr>
        <w:t>年决算相比</w:t>
      </w:r>
      <w:r w:rsidR="00504F2D">
        <w:rPr>
          <w:rFonts w:ascii="仿宋_GB2312" w:eastAsia="仿宋_GB2312" w:hAnsi="Times New Roman" w:cs="Times New Roman" w:hint="eastAsia"/>
          <w:kern w:val="0"/>
          <w:sz w:val="30"/>
          <w:szCs w:val="30"/>
        </w:rPr>
        <w:t>减少2960095.97</w:t>
      </w:r>
      <w:r>
        <w:rPr>
          <w:rFonts w:ascii="仿宋_GB2312" w:eastAsia="仿宋_GB2312" w:hAnsi="Times New Roman" w:cs="Times New Roman" w:hint="eastAsia"/>
          <w:kern w:val="0"/>
          <w:sz w:val="30"/>
          <w:szCs w:val="30"/>
        </w:rPr>
        <w:t>元，其中：基本支出</w:t>
      </w:r>
      <w:r w:rsidR="00504F2D">
        <w:rPr>
          <w:rFonts w:ascii="仿宋_GB2312" w:eastAsia="仿宋_GB2312" w:hAnsi="Times New Roman" w:cs="Times New Roman" w:hint="eastAsia"/>
          <w:kern w:val="0"/>
          <w:sz w:val="30"/>
          <w:szCs w:val="30"/>
        </w:rPr>
        <w:t>10550318.88</w:t>
      </w:r>
      <w:r>
        <w:rPr>
          <w:rFonts w:ascii="仿宋_GB2312" w:eastAsia="仿宋_GB2312" w:hAnsi="Times New Roman" w:cs="Times New Roman" w:hint="eastAsia"/>
          <w:kern w:val="0"/>
          <w:sz w:val="30"/>
          <w:szCs w:val="30"/>
        </w:rPr>
        <w:t>元，占</w:t>
      </w:r>
      <w:r w:rsidR="00504F2D">
        <w:rPr>
          <w:rFonts w:ascii="仿宋_GB2312" w:eastAsia="仿宋_GB2312" w:hAnsi="Times New Roman" w:cs="Times New Roman" w:hint="eastAsia"/>
          <w:kern w:val="0"/>
          <w:sz w:val="30"/>
          <w:szCs w:val="30"/>
        </w:rPr>
        <w:t>99.52</w:t>
      </w:r>
      <w:r>
        <w:rPr>
          <w:rFonts w:ascii="仿宋_GB2312" w:eastAsia="仿宋_GB2312" w:hAnsi="Times New Roman" w:cs="Times New Roman" w:hint="eastAsia"/>
          <w:kern w:val="0"/>
          <w:sz w:val="30"/>
          <w:szCs w:val="30"/>
        </w:rPr>
        <w:t>%；项目支出</w:t>
      </w:r>
      <w:r w:rsidR="00504F2D">
        <w:rPr>
          <w:rFonts w:ascii="仿宋_GB2312" w:eastAsia="仿宋_GB2312" w:hAnsi="Times New Roman" w:cs="Times New Roman" w:hint="eastAsia"/>
          <w:kern w:val="0"/>
          <w:sz w:val="30"/>
          <w:szCs w:val="30"/>
        </w:rPr>
        <w:t>51220</w:t>
      </w:r>
      <w:r>
        <w:rPr>
          <w:rFonts w:ascii="仿宋_GB2312" w:eastAsia="仿宋_GB2312" w:hAnsi="Times New Roman" w:cs="Times New Roman" w:hint="eastAsia"/>
          <w:kern w:val="0"/>
          <w:sz w:val="30"/>
          <w:szCs w:val="30"/>
        </w:rPr>
        <w:t>元，占</w:t>
      </w:r>
      <w:r w:rsidR="00504F2D">
        <w:rPr>
          <w:rFonts w:ascii="仿宋_GB2312" w:eastAsia="仿宋_GB2312" w:hAnsi="Times New Roman" w:cs="Times New Roman" w:hint="eastAsia"/>
          <w:kern w:val="0"/>
          <w:sz w:val="30"/>
          <w:szCs w:val="30"/>
        </w:rPr>
        <w:t>0.48</w:t>
      </w:r>
      <w:r>
        <w:rPr>
          <w:rFonts w:ascii="仿宋_GB2312" w:eastAsia="仿宋_GB2312" w:hAnsi="Times New Roman" w:cs="Times New Roman" w:hint="eastAsia"/>
          <w:kern w:val="0"/>
          <w:sz w:val="30"/>
          <w:szCs w:val="30"/>
        </w:rPr>
        <w:t>%。</w:t>
      </w:r>
    </w:p>
    <w:p w:rsidR="00A50C87" w:rsidRDefault="00DB71A8">
      <w:pPr>
        <w:adjustRightInd w:val="0"/>
        <w:spacing w:line="580" w:lineRule="exact"/>
        <w:ind w:firstLine="600"/>
        <w:jc w:val="left"/>
        <w:textAlignment w:val="baseline"/>
        <w:rPr>
          <w:rFonts w:ascii="楷体_GB2312" w:eastAsia="楷体_GB2312" w:hAnsi="Times New Roman" w:cs="Times New Roman"/>
          <w:b/>
          <w:kern w:val="0"/>
          <w:sz w:val="30"/>
          <w:szCs w:val="30"/>
        </w:rPr>
      </w:pPr>
      <w:r>
        <w:rPr>
          <w:rFonts w:ascii="楷体_GB2312" w:eastAsia="楷体_GB2312" w:hAnsi="Times New Roman" w:cs="Times New Roman" w:hint="eastAsia"/>
          <w:b/>
          <w:kern w:val="0"/>
          <w:sz w:val="30"/>
          <w:szCs w:val="30"/>
        </w:rPr>
        <w:t>三、</w:t>
      </w:r>
      <w:r w:rsidR="00ED435E">
        <w:rPr>
          <w:rFonts w:ascii="楷体_GB2312" w:eastAsia="楷体_GB2312" w:hAnsi="Times New Roman" w:cs="Times New Roman" w:hint="eastAsia"/>
          <w:b/>
          <w:kern w:val="0"/>
          <w:sz w:val="30"/>
          <w:szCs w:val="30"/>
        </w:rPr>
        <w:t>2019</w:t>
      </w:r>
      <w:r>
        <w:rPr>
          <w:rFonts w:ascii="楷体_GB2312" w:eastAsia="楷体_GB2312" w:hAnsi="Times New Roman" w:cs="Times New Roman" w:hint="eastAsia"/>
          <w:b/>
          <w:kern w:val="0"/>
          <w:sz w:val="30"/>
          <w:szCs w:val="30"/>
        </w:rPr>
        <w:t>年度部门决算一般公共预算财政支出情况</w:t>
      </w:r>
    </w:p>
    <w:p w:rsidR="00A50C87" w:rsidRDefault="00DB71A8">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天津市人力资源和社会保障宣传教育科研中心</w:t>
      </w:r>
      <w:r w:rsidR="00ED435E">
        <w:rPr>
          <w:rFonts w:ascii="仿宋_GB2312" w:eastAsia="仿宋_GB2312" w:hAnsi="Times New Roman" w:cs="Times New Roman" w:hint="eastAsia"/>
          <w:kern w:val="0"/>
          <w:sz w:val="30"/>
          <w:szCs w:val="30"/>
        </w:rPr>
        <w:t>2019</w:t>
      </w:r>
      <w:r>
        <w:rPr>
          <w:rFonts w:ascii="仿宋_GB2312" w:eastAsia="仿宋_GB2312" w:hAnsi="Times New Roman" w:cs="Times New Roman" w:hint="eastAsia"/>
          <w:kern w:val="0"/>
          <w:sz w:val="30"/>
          <w:szCs w:val="30"/>
        </w:rPr>
        <w:t>年度部门决算一般公共预算财政拨款支出总计</w:t>
      </w:r>
      <w:r w:rsidR="00F1549C">
        <w:rPr>
          <w:rFonts w:ascii="仿宋_GB2312" w:eastAsia="仿宋_GB2312" w:hAnsi="Times New Roman" w:cs="Times New Roman" w:hint="eastAsia"/>
          <w:kern w:val="0"/>
          <w:sz w:val="30"/>
          <w:szCs w:val="30"/>
        </w:rPr>
        <w:t>10486863.88</w:t>
      </w:r>
      <w:r>
        <w:rPr>
          <w:rFonts w:ascii="仿宋_GB2312" w:eastAsia="仿宋_GB2312" w:hAnsi="Times New Roman" w:cs="Times New Roman" w:hint="eastAsia"/>
          <w:kern w:val="0"/>
          <w:sz w:val="30"/>
          <w:szCs w:val="30"/>
        </w:rPr>
        <w:t>元，与</w:t>
      </w:r>
      <w:r w:rsidR="003C30BA">
        <w:rPr>
          <w:rFonts w:ascii="仿宋_GB2312" w:eastAsia="仿宋_GB2312" w:hAnsi="Times New Roman" w:cs="Times New Roman" w:hint="eastAsia"/>
          <w:kern w:val="0"/>
          <w:sz w:val="30"/>
          <w:szCs w:val="30"/>
        </w:rPr>
        <w:t>2018</w:t>
      </w:r>
      <w:r>
        <w:rPr>
          <w:rFonts w:ascii="仿宋_GB2312" w:eastAsia="仿宋_GB2312" w:hAnsi="Times New Roman" w:cs="Times New Roman" w:hint="eastAsia"/>
          <w:kern w:val="0"/>
          <w:sz w:val="30"/>
          <w:szCs w:val="30"/>
        </w:rPr>
        <w:t>年决算相比</w:t>
      </w:r>
      <w:r w:rsidR="00F1549C">
        <w:rPr>
          <w:rFonts w:ascii="仿宋_GB2312" w:eastAsia="仿宋_GB2312" w:hAnsi="Times New Roman" w:cs="Times New Roman" w:hint="eastAsia"/>
          <w:kern w:val="0"/>
          <w:sz w:val="30"/>
          <w:szCs w:val="30"/>
        </w:rPr>
        <w:t>减少1146784.45</w:t>
      </w:r>
      <w:r>
        <w:rPr>
          <w:rFonts w:ascii="仿宋_GB2312" w:eastAsia="仿宋_GB2312" w:hAnsi="Times New Roman" w:cs="Times New Roman" w:hint="eastAsia"/>
          <w:kern w:val="0"/>
          <w:sz w:val="30"/>
          <w:szCs w:val="30"/>
        </w:rPr>
        <w:t>元，具体情况如下：</w:t>
      </w:r>
    </w:p>
    <w:p w:rsidR="00A50C87" w:rsidRDefault="00DB71A8">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1.教育支出（类）</w:t>
      </w:r>
      <w:r w:rsidR="00F1549C">
        <w:rPr>
          <w:rFonts w:ascii="仿宋_GB2312" w:eastAsia="仿宋_GB2312" w:hAnsi="Times New Roman" w:cs="Times New Roman" w:hint="eastAsia"/>
          <w:kern w:val="0"/>
          <w:sz w:val="30"/>
          <w:szCs w:val="30"/>
        </w:rPr>
        <w:t>8553328.20</w:t>
      </w:r>
      <w:r>
        <w:rPr>
          <w:rFonts w:ascii="仿宋_GB2312" w:eastAsia="仿宋_GB2312" w:hAnsi="Times New Roman" w:cs="Times New Roman" w:hint="eastAsia"/>
          <w:kern w:val="0"/>
          <w:sz w:val="30"/>
          <w:szCs w:val="30"/>
        </w:rPr>
        <w:t>元</w:t>
      </w:r>
    </w:p>
    <w:p w:rsidR="00A50C87" w:rsidRDefault="00DB71A8">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职业教育（款）</w:t>
      </w:r>
      <w:r w:rsidR="00D633A7">
        <w:rPr>
          <w:rFonts w:ascii="仿宋_GB2312" w:eastAsia="仿宋_GB2312" w:hAnsi="Times New Roman" w:cs="Times New Roman" w:hint="eastAsia"/>
          <w:kern w:val="0"/>
          <w:sz w:val="30"/>
          <w:szCs w:val="30"/>
        </w:rPr>
        <w:t>8553328.20</w:t>
      </w:r>
      <w:r>
        <w:rPr>
          <w:rFonts w:ascii="仿宋_GB2312" w:eastAsia="仿宋_GB2312" w:hAnsi="Times New Roman" w:cs="Times New Roman" w:hint="eastAsia"/>
          <w:kern w:val="0"/>
          <w:sz w:val="30"/>
          <w:szCs w:val="30"/>
        </w:rPr>
        <w:t>元，其他职业教育支出（项）</w:t>
      </w:r>
      <w:r w:rsidR="00D633A7">
        <w:rPr>
          <w:rFonts w:ascii="仿宋_GB2312" w:eastAsia="仿宋_GB2312" w:hAnsi="Times New Roman" w:cs="Times New Roman" w:hint="eastAsia"/>
          <w:kern w:val="0"/>
          <w:sz w:val="30"/>
          <w:szCs w:val="30"/>
        </w:rPr>
        <w:t>8553328.20</w:t>
      </w:r>
      <w:r>
        <w:rPr>
          <w:rFonts w:ascii="仿宋_GB2312" w:eastAsia="仿宋_GB2312" w:hAnsi="Times New Roman" w:cs="Times New Roman" w:hint="eastAsia"/>
          <w:kern w:val="0"/>
          <w:sz w:val="30"/>
          <w:szCs w:val="30"/>
        </w:rPr>
        <w:t>元，主要用于支付部门在职人员工资、社会保险、住房公积金、退休人员工资和部门日常办公经费支出等。</w:t>
      </w:r>
    </w:p>
    <w:p w:rsidR="00A50C87" w:rsidRDefault="00DB71A8">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2.社会保障和就业支出（类）</w:t>
      </w:r>
      <w:r w:rsidR="00291AAA">
        <w:rPr>
          <w:rFonts w:ascii="仿宋_GB2312" w:eastAsia="仿宋_GB2312" w:hAnsi="Times New Roman" w:cs="Times New Roman" w:hint="eastAsia"/>
          <w:kern w:val="0"/>
          <w:sz w:val="30"/>
          <w:szCs w:val="30"/>
        </w:rPr>
        <w:t>1440535.68</w:t>
      </w:r>
      <w:r>
        <w:rPr>
          <w:rFonts w:ascii="仿宋_GB2312" w:eastAsia="仿宋_GB2312" w:hAnsi="Times New Roman" w:cs="Times New Roman" w:hint="eastAsia"/>
          <w:kern w:val="0"/>
          <w:sz w:val="30"/>
          <w:szCs w:val="30"/>
        </w:rPr>
        <w:t>元</w:t>
      </w:r>
    </w:p>
    <w:p w:rsidR="00A50C87" w:rsidRDefault="00291AAA">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人力资源和社会保障管理事务（款）51220元，行政运行（项）</w:t>
      </w:r>
      <w:r>
        <w:rPr>
          <w:rFonts w:ascii="仿宋_GB2312" w:eastAsia="仿宋_GB2312" w:hAnsi="Times New Roman" w:cs="Times New Roman" w:hint="eastAsia"/>
          <w:kern w:val="0"/>
          <w:sz w:val="30"/>
          <w:szCs w:val="30"/>
        </w:rPr>
        <w:lastRenderedPageBreak/>
        <w:t>51220元，主要用于支付退休人员丧葬费。</w:t>
      </w:r>
      <w:r w:rsidR="00DB71A8">
        <w:rPr>
          <w:rFonts w:ascii="仿宋_GB2312" w:eastAsia="仿宋_GB2312" w:hAnsi="Times New Roman" w:cs="Times New Roman" w:hint="eastAsia"/>
          <w:kern w:val="0"/>
          <w:sz w:val="30"/>
          <w:szCs w:val="30"/>
        </w:rPr>
        <w:t>行政事业单位离退休（款）</w:t>
      </w:r>
      <w:r>
        <w:rPr>
          <w:rFonts w:ascii="仿宋_GB2312" w:eastAsia="仿宋_GB2312" w:hAnsi="Times New Roman" w:cs="Times New Roman" w:hint="eastAsia"/>
          <w:kern w:val="0"/>
          <w:sz w:val="30"/>
          <w:szCs w:val="30"/>
        </w:rPr>
        <w:t>1389315.68</w:t>
      </w:r>
      <w:r w:rsidR="00DB71A8">
        <w:rPr>
          <w:rFonts w:ascii="仿宋_GB2312" w:eastAsia="仿宋_GB2312" w:hAnsi="Times New Roman" w:cs="Times New Roman" w:hint="eastAsia"/>
          <w:kern w:val="0"/>
          <w:sz w:val="30"/>
          <w:szCs w:val="30"/>
        </w:rPr>
        <w:t>元，机关事业单位基本养老保险缴费支出（项）</w:t>
      </w:r>
      <w:r>
        <w:rPr>
          <w:rFonts w:ascii="仿宋_GB2312" w:eastAsia="仿宋_GB2312" w:hAnsi="Times New Roman" w:cs="Times New Roman" w:hint="eastAsia"/>
          <w:kern w:val="0"/>
          <w:sz w:val="30"/>
          <w:szCs w:val="30"/>
        </w:rPr>
        <w:t>599000</w:t>
      </w:r>
      <w:r w:rsidR="00DB71A8">
        <w:rPr>
          <w:rFonts w:ascii="仿宋_GB2312" w:eastAsia="仿宋_GB2312" w:hAnsi="Times New Roman" w:cs="Times New Roman" w:hint="eastAsia"/>
          <w:kern w:val="0"/>
          <w:sz w:val="30"/>
          <w:szCs w:val="30"/>
        </w:rPr>
        <w:t>元，机关事业单位职业年金缴费支出（项）</w:t>
      </w:r>
      <w:r>
        <w:rPr>
          <w:rFonts w:ascii="仿宋_GB2312" w:eastAsia="仿宋_GB2312" w:hAnsi="Times New Roman" w:cs="Times New Roman" w:hint="eastAsia"/>
          <w:kern w:val="0"/>
          <w:sz w:val="30"/>
          <w:szCs w:val="30"/>
        </w:rPr>
        <w:t>790315.68</w:t>
      </w:r>
      <w:r w:rsidR="00DB71A8">
        <w:rPr>
          <w:rFonts w:ascii="仿宋_GB2312" w:eastAsia="仿宋_GB2312" w:hAnsi="Times New Roman" w:cs="Times New Roman" w:hint="eastAsia"/>
          <w:kern w:val="0"/>
          <w:sz w:val="30"/>
          <w:szCs w:val="30"/>
        </w:rPr>
        <w:t>元。其中：工资福利支出</w:t>
      </w:r>
      <w:r>
        <w:rPr>
          <w:rFonts w:ascii="仿宋_GB2312" w:eastAsia="仿宋_GB2312" w:hAnsi="Times New Roman" w:cs="Times New Roman" w:hint="eastAsia"/>
          <w:kern w:val="0"/>
          <w:sz w:val="30"/>
          <w:szCs w:val="30"/>
        </w:rPr>
        <w:t>1389315.68</w:t>
      </w:r>
      <w:r w:rsidR="00DB71A8">
        <w:rPr>
          <w:rFonts w:ascii="仿宋_GB2312" w:eastAsia="仿宋_GB2312" w:hAnsi="Times New Roman" w:cs="Times New Roman" w:hint="eastAsia"/>
          <w:kern w:val="0"/>
          <w:sz w:val="30"/>
          <w:szCs w:val="30"/>
        </w:rPr>
        <w:t>元，包括：机关事业单位基本能养老保险费</w:t>
      </w:r>
      <w:r>
        <w:rPr>
          <w:rFonts w:ascii="仿宋_GB2312" w:eastAsia="仿宋_GB2312" w:hAnsi="Times New Roman" w:cs="Times New Roman" w:hint="eastAsia"/>
          <w:kern w:val="0"/>
          <w:sz w:val="30"/>
          <w:szCs w:val="30"/>
        </w:rPr>
        <w:t>1389315.68</w:t>
      </w:r>
      <w:r w:rsidR="00DB71A8">
        <w:rPr>
          <w:rFonts w:ascii="仿宋_GB2312" w:eastAsia="仿宋_GB2312" w:hAnsi="Times New Roman" w:cs="Times New Roman" w:hint="eastAsia"/>
          <w:kern w:val="0"/>
          <w:sz w:val="30"/>
          <w:szCs w:val="30"/>
        </w:rPr>
        <w:t>元，主要用于：在职人员基本养老保险费支出；职业年金缴费</w:t>
      </w:r>
      <w:r>
        <w:rPr>
          <w:rFonts w:ascii="仿宋_GB2312" w:eastAsia="仿宋_GB2312" w:hAnsi="Times New Roman" w:cs="Times New Roman" w:hint="eastAsia"/>
          <w:kern w:val="0"/>
          <w:sz w:val="30"/>
          <w:szCs w:val="30"/>
        </w:rPr>
        <w:t>599000</w:t>
      </w:r>
      <w:r w:rsidR="00DB71A8">
        <w:rPr>
          <w:rFonts w:ascii="仿宋_GB2312" w:eastAsia="仿宋_GB2312" w:hAnsi="Times New Roman" w:cs="Times New Roman" w:hint="eastAsia"/>
          <w:kern w:val="0"/>
          <w:sz w:val="30"/>
          <w:szCs w:val="30"/>
        </w:rPr>
        <w:t>元，主要用于：在职人员职业年金支出。</w:t>
      </w:r>
    </w:p>
    <w:p w:rsidR="00A50C87" w:rsidRDefault="004B6797">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2</w:t>
      </w:r>
      <w:r w:rsidR="00DB71A8">
        <w:rPr>
          <w:rFonts w:ascii="仿宋_GB2312" w:eastAsia="仿宋_GB2312" w:hAnsi="Times New Roman" w:cs="Times New Roman" w:hint="eastAsia"/>
          <w:kern w:val="0"/>
          <w:sz w:val="30"/>
          <w:szCs w:val="30"/>
        </w:rPr>
        <w:t>.医疗</w:t>
      </w:r>
      <w:r w:rsidR="005466E2">
        <w:rPr>
          <w:rFonts w:ascii="仿宋_GB2312" w:eastAsia="仿宋_GB2312" w:hAnsi="Times New Roman" w:cs="Times New Roman" w:hint="eastAsia"/>
          <w:kern w:val="0"/>
          <w:sz w:val="30"/>
          <w:szCs w:val="30"/>
        </w:rPr>
        <w:t>健康支出</w:t>
      </w:r>
      <w:r w:rsidR="00DB71A8">
        <w:rPr>
          <w:rFonts w:ascii="仿宋_GB2312" w:eastAsia="仿宋_GB2312" w:hAnsi="Times New Roman" w:cs="Times New Roman" w:hint="eastAsia"/>
          <w:kern w:val="0"/>
          <w:sz w:val="30"/>
          <w:szCs w:val="30"/>
        </w:rPr>
        <w:t>（类）</w:t>
      </w:r>
      <w:r w:rsidR="005466E2">
        <w:rPr>
          <w:rFonts w:ascii="仿宋_GB2312" w:eastAsia="仿宋_GB2312" w:hAnsi="Times New Roman" w:cs="Times New Roman" w:hint="eastAsia"/>
          <w:kern w:val="0"/>
          <w:sz w:val="30"/>
          <w:szCs w:val="30"/>
        </w:rPr>
        <w:t>493000</w:t>
      </w:r>
      <w:r w:rsidR="00DB71A8">
        <w:rPr>
          <w:rFonts w:ascii="仿宋_GB2312" w:eastAsia="仿宋_GB2312" w:hAnsi="Times New Roman" w:cs="Times New Roman" w:hint="eastAsia"/>
          <w:kern w:val="0"/>
          <w:sz w:val="30"/>
          <w:szCs w:val="30"/>
        </w:rPr>
        <w:t>元，行政事业单位医疗（款）</w:t>
      </w:r>
      <w:r w:rsidR="005466E2">
        <w:rPr>
          <w:rFonts w:ascii="仿宋_GB2312" w:eastAsia="仿宋_GB2312" w:hAnsi="Times New Roman" w:cs="Times New Roman" w:hint="eastAsia"/>
          <w:kern w:val="0"/>
          <w:sz w:val="30"/>
          <w:szCs w:val="30"/>
        </w:rPr>
        <w:t>493000</w:t>
      </w:r>
      <w:r w:rsidR="00DB71A8">
        <w:rPr>
          <w:rFonts w:ascii="仿宋_GB2312" w:eastAsia="仿宋_GB2312" w:hAnsi="Times New Roman" w:cs="Times New Roman" w:hint="eastAsia"/>
          <w:kern w:val="0"/>
          <w:sz w:val="30"/>
          <w:szCs w:val="30"/>
        </w:rPr>
        <w:t>元，包括：“事业单位医疗”（项）</w:t>
      </w:r>
      <w:r w:rsidR="00DC1421">
        <w:rPr>
          <w:rFonts w:ascii="仿宋_GB2312" w:eastAsia="仿宋_GB2312" w:hAnsi="Times New Roman" w:cs="Times New Roman" w:hint="eastAsia"/>
          <w:kern w:val="0"/>
          <w:sz w:val="30"/>
          <w:szCs w:val="30"/>
        </w:rPr>
        <w:t>366000</w:t>
      </w:r>
      <w:r w:rsidR="00DB71A8">
        <w:rPr>
          <w:rFonts w:ascii="仿宋_GB2312" w:eastAsia="仿宋_GB2312" w:hAnsi="Times New Roman" w:cs="Times New Roman" w:hint="eastAsia"/>
          <w:kern w:val="0"/>
          <w:sz w:val="30"/>
          <w:szCs w:val="30"/>
        </w:rPr>
        <w:t>元，主要用于医疗经费支出；“其他行政事业单位医疗支出”（项）</w:t>
      </w:r>
      <w:r w:rsidR="00DC1421">
        <w:rPr>
          <w:rFonts w:ascii="仿宋_GB2312" w:eastAsia="仿宋_GB2312" w:hAnsi="Times New Roman" w:cs="Times New Roman" w:hint="eastAsia"/>
          <w:kern w:val="0"/>
          <w:sz w:val="30"/>
          <w:szCs w:val="30"/>
        </w:rPr>
        <w:t>127000</w:t>
      </w:r>
      <w:r w:rsidR="00DB71A8">
        <w:rPr>
          <w:rFonts w:ascii="仿宋_GB2312" w:eastAsia="仿宋_GB2312" w:hAnsi="Times New Roman" w:cs="Times New Roman" w:hint="eastAsia"/>
          <w:kern w:val="0"/>
          <w:sz w:val="30"/>
          <w:szCs w:val="30"/>
        </w:rPr>
        <w:t>元，主要用于：部门医疗经费支出。</w:t>
      </w:r>
    </w:p>
    <w:p w:rsidR="00A50C87" w:rsidRDefault="00DB71A8">
      <w:pPr>
        <w:adjustRightInd w:val="0"/>
        <w:spacing w:line="580" w:lineRule="exact"/>
        <w:ind w:firstLine="600"/>
        <w:jc w:val="left"/>
        <w:textAlignment w:val="baseline"/>
        <w:rPr>
          <w:rFonts w:ascii="楷体_GB2312" w:eastAsia="楷体_GB2312" w:hAnsi="Times New Roman" w:cs="Times New Roman"/>
          <w:b/>
          <w:kern w:val="0"/>
          <w:sz w:val="30"/>
          <w:szCs w:val="30"/>
        </w:rPr>
      </w:pPr>
      <w:r>
        <w:rPr>
          <w:rFonts w:ascii="楷体_GB2312" w:eastAsia="楷体_GB2312" w:hAnsi="Times New Roman" w:cs="Times New Roman" w:hint="eastAsia"/>
          <w:b/>
          <w:kern w:val="0"/>
          <w:sz w:val="30"/>
          <w:szCs w:val="30"/>
        </w:rPr>
        <w:t>四、</w:t>
      </w:r>
      <w:r w:rsidR="00ED435E">
        <w:rPr>
          <w:rFonts w:ascii="楷体_GB2312" w:eastAsia="楷体_GB2312" w:hAnsi="Times New Roman" w:cs="Times New Roman" w:hint="eastAsia"/>
          <w:b/>
          <w:kern w:val="0"/>
          <w:sz w:val="30"/>
          <w:szCs w:val="30"/>
        </w:rPr>
        <w:t>2019</w:t>
      </w:r>
      <w:r>
        <w:rPr>
          <w:rFonts w:ascii="楷体_GB2312" w:eastAsia="楷体_GB2312" w:hAnsi="Times New Roman" w:cs="Times New Roman" w:hint="eastAsia"/>
          <w:b/>
          <w:kern w:val="0"/>
          <w:sz w:val="30"/>
          <w:szCs w:val="30"/>
        </w:rPr>
        <w:t>年度部门决算一般公共预算财政拨款基本支出情况</w:t>
      </w:r>
    </w:p>
    <w:p w:rsidR="00A50C87" w:rsidRDefault="00DB71A8">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天津市人力资源和社会保障宣传教育科研中心</w:t>
      </w:r>
      <w:r w:rsidR="00ED435E">
        <w:rPr>
          <w:rFonts w:ascii="仿宋_GB2312" w:eastAsia="仿宋_GB2312" w:hAnsi="Times New Roman" w:cs="Times New Roman" w:hint="eastAsia"/>
          <w:kern w:val="0"/>
          <w:sz w:val="30"/>
          <w:szCs w:val="30"/>
        </w:rPr>
        <w:t>2019</w:t>
      </w:r>
      <w:r>
        <w:rPr>
          <w:rFonts w:ascii="仿宋_GB2312" w:eastAsia="仿宋_GB2312" w:hAnsi="Times New Roman" w:cs="Times New Roman" w:hint="eastAsia"/>
          <w:kern w:val="0"/>
          <w:sz w:val="30"/>
          <w:szCs w:val="30"/>
        </w:rPr>
        <w:t>年度部门决算一般公共预算财政拨款基本支出总计</w:t>
      </w:r>
      <w:r w:rsidR="00AB18F5">
        <w:rPr>
          <w:rFonts w:ascii="仿宋_GB2312" w:eastAsia="仿宋_GB2312" w:hAnsi="Times New Roman" w:cs="Times New Roman" w:hint="eastAsia"/>
          <w:kern w:val="0"/>
          <w:sz w:val="30"/>
          <w:szCs w:val="30"/>
        </w:rPr>
        <w:t>10486863.88</w:t>
      </w:r>
      <w:r>
        <w:rPr>
          <w:rFonts w:ascii="仿宋_GB2312" w:eastAsia="仿宋_GB2312" w:hAnsi="Times New Roman" w:cs="Times New Roman" w:hint="eastAsia"/>
          <w:kern w:val="0"/>
          <w:sz w:val="30"/>
          <w:szCs w:val="30"/>
        </w:rPr>
        <w:t>元，与</w:t>
      </w:r>
      <w:r w:rsidR="003C30BA">
        <w:rPr>
          <w:rFonts w:ascii="仿宋_GB2312" w:eastAsia="仿宋_GB2312" w:hAnsi="Times New Roman" w:cs="Times New Roman" w:hint="eastAsia"/>
          <w:kern w:val="0"/>
          <w:sz w:val="30"/>
          <w:szCs w:val="30"/>
        </w:rPr>
        <w:t>2018</w:t>
      </w:r>
      <w:r>
        <w:rPr>
          <w:rFonts w:ascii="仿宋_GB2312" w:eastAsia="仿宋_GB2312" w:hAnsi="Times New Roman" w:cs="Times New Roman" w:hint="eastAsia"/>
          <w:kern w:val="0"/>
          <w:sz w:val="30"/>
          <w:szCs w:val="30"/>
        </w:rPr>
        <w:t>年决算相比</w:t>
      </w:r>
      <w:r w:rsidR="00AB18F5">
        <w:rPr>
          <w:rFonts w:ascii="仿宋_GB2312" w:eastAsia="仿宋_GB2312" w:hAnsi="Times New Roman" w:cs="Times New Roman" w:hint="eastAsia"/>
          <w:kern w:val="0"/>
          <w:sz w:val="30"/>
          <w:szCs w:val="30"/>
        </w:rPr>
        <w:t>增加389537.15</w:t>
      </w:r>
      <w:r>
        <w:rPr>
          <w:rFonts w:ascii="仿宋_GB2312" w:eastAsia="仿宋_GB2312" w:hAnsi="Times New Roman" w:cs="Times New Roman" w:hint="eastAsia"/>
          <w:kern w:val="0"/>
          <w:sz w:val="30"/>
          <w:szCs w:val="30"/>
        </w:rPr>
        <w:t>元，具体情况如下：</w:t>
      </w:r>
    </w:p>
    <w:p w:rsidR="00A50C87" w:rsidRDefault="00DB71A8">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1.工资福利支出</w:t>
      </w:r>
      <w:r w:rsidR="00AB18F5">
        <w:rPr>
          <w:rFonts w:ascii="仿宋_GB2312" w:eastAsia="仿宋_GB2312" w:hAnsi="Times New Roman" w:cs="Times New Roman" w:hint="eastAsia"/>
          <w:kern w:val="0"/>
          <w:sz w:val="30"/>
          <w:szCs w:val="30"/>
        </w:rPr>
        <w:t>8948939.77。</w:t>
      </w:r>
      <w:r>
        <w:rPr>
          <w:rFonts w:ascii="仿宋_GB2312" w:eastAsia="仿宋_GB2312" w:hAnsi="Times New Roman" w:cs="Times New Roman" w:hint="eastAsia"/>
          <w:kern w:val="0"/>
          <w:sz w:val="30"/>
          <w:szCs w:val="30"/>
        </w:rPr>
        <w:t>职工基本工资支出</w:t>
      </w:r>
      <w:r w:rsidR="00AB18F5">
        <w:rPr>
          <w:rFonts w:ascii="仿宋_GB2312" w:eastAsia="仿宋_GB2312" w:hAnsi="Times New Roman" w:cs="Times New Roman" w:hint="eastAsia"/>
          <w:kern w:val="0"/>
          <w:sz w:val="30"/>
          <w:szCs w:val="30"/>
        </w:rPr>
        <w:t>1323908.82元，主要用于发放职工工资。</w:t>
      </w:r>
      <w:r>
        <w:rPr>
          <w:rFonts w:ascii="仿宋_GB2312" w:eastAsia="仿宋_GB2312" w:hAnsi="Times New Roman" w:cs="Times New Roman" w:hint="eastAsia"/>
          <w:kern w:val="0"/>
          <w:sz w:val="30"/>
          <w:szCs w:val="30"/>
        </w:rPr>
        <w:t>；津贴补贴</w:t>
      </w:r>
      <w:r w:rsidR="00AB18F5">
        <w:rPr>
          <w:rFonts w:ascii="仿宋_GB2312" w:eastAsia="仿宋_GB2312" w:hAnsi="Times New Roman" w:cs="Times New Roman" w:hint="eastAsia"/>
          <w:kern w:val="0"/>
          <w:sz w:val="30"/>
          <w:szCs w:val="30"/>
        </w:rPr>
        <w:t>891586.20</w:t>
      </w:r>
      <w:r>
        <w:rPr>
          <w:rFonts w:ascii="仿宋_GB2312" w:eastAsia="仿宋_GB2312" w:hAnsi="Times New Roman" w:cs="Times New Roman" w:hint="eastAsia"/>
          <w:kern w:val="0"/>
          <w:sz w:val="30"/>
          <w:szCs w:val="30"/>
        </w:rPr>
        <w:t>元，主要用于：在职人员津贴补贴支出；绩效工资</w:t>
      </w:r>
      <w:r w:rsidR="00AB18F5">
        <w:rPr>
          <w:rFonts w:ascii="仿宋_GB2312" w:eastAsia="仿宋_GB2312" w:hAnsi="Times New Roman" w:cs="Times New Roman" w:hint="eastAsia"/>
          <w:kern w:val="0"/>
          <w:sz w:val="30"/>
          <w:szCs w:val="30"/>
        </w:rPr>
        <w:t>2417340.50</w:t>
      </w:r>
      <w:r>
        <w:rPr>
          <w:rFonts w:ascii="仿宋_GB2312" w:eastAsia="仿宋_GB2312" w:hAnsi="Times New Roman" w:cs="Times New Roman" w:hint="eastAsia"/>
          <w:kern w:val="0"/>
          <w:sz w:val="30"/>
          <w:szCs w:val="30"/>
        </w:rPr>
        <w:t>元，主要用于：在职人员绩效工资支出；机关事业单位基本养老保险费</w:t>
      </w:r>
      <w:r w:rsidR="00AB18F5">
        <w:rPr>
          <w:rFonts w:ascii="仿宋_GB2312" w:eastAsia="仿宋_GB2312" w:hAnsi="Times New Roman" w:cs="Times New Roman" w:hint="eastAsia"/>
          <w:kern w:val="0"/>
          <w:sz w:val="30"/>
          <w:szCs w:val="30"/>
        </w:rPr>
        <w:t>599000</w:t>
      </w:r>
      <w:r>
        <w:rPr>
          <w:rFonts w:ascii="仿宋_GB2312" w:eastAsia="仿宋_GB2312" w:hAnsi="Times New Roman" w:cs="Times New Roman" w:hint="eastAsia"/>
          <w:kern w:val="0"/>
          <w:sz w:val="30"/>
          <w:szCs w:val="30"/>
        </w:rPr>
        <w:t>元，主要用于：在职人员基本养老保险费支出；职业年金缴费</w:t>
      </w:r>
      <w:r w:rsidR="00AB18F5">
        <w:rPr>
          <w:rFonts w:ascii="仿宋_GB2312" w:eastAsia="仿宋_GB2312" w:hAnsi="Times New Roman" w:cs="Times New Roman" w:hint="eastAsia"/>
          <w:kern w:val="0"/>
          <w:sz w:val="30"/>
          <w:szCs w:val="30"/>
        </w:rPr>
        <w:t>804849.87</w:t>
      </w:r>
      <w:r>
        <w:rPr>
          <w:rFonts w:ascii="仿宋_GB2312" w:eastAsia="仿宋_GB2312" w:hAnsi="Times New Roman" w:cs="Times New Roman" w:hint="eastAsia"/>
          <w:kern w:val="0"/>
          <w:sz w:val="30"/>
          <w:szCs w:val="30"/>
        </w:rPr>
        <w:t>元，主要用于：在职人员职业年金支出；职工基本医疗保险缴费</w:t>
      </w:r>
      <w:r w:rsidR="00AB18F5">
        <w:rPr>
          <w:rFonts w:ascii="仿宋_GB2312" w:eastAsia="仿宋_GB2312" w:hAnsi="Times New Roman" w:cs="Times New Roman" w:hint="eastAsia"/>
          <w:kern w:val="0"/>
          <w:sz w:val="30"/>
          <w:szCs w:val="30"/>
        </w:rPr>
        <w:t>374084.55元，</w:t>
      </w:r>
      <w:r>
        <w:rPr>
          <w:rFonts w:ascii="仿宋_GB2312" w:eastAsia="仿宋_GB2312" w:hAnsi="Times New Roman" w:cs="Times New Roman" w:hint="eastAsia"/>
          <w:kern w:val="0"/>
          <w:sz w:val="30"/>
          <w:szCs w:val="30"/>
        </w:rPr>
        <w:t>主要用于：部门在</w:t>
      </w:r>
      <w:r>
        <w:rPr>
          <w:rFonts w:ascii="仿宋_GB2312" w:eastAsia="仿宋_GB2312" w:hAnsi="Times New Roman" w:cs="Times New Roman" w:hint="eastAsia"/>
          <w:kern w:val="0"/>
          <w:sz w:val="30"/>
          <w:szCs w:val="30"/>
        </w:rPr>
        <w:lastRenderedPageBreak/>
        <w:t>职人员医疗保险缴费支出；其他社会保险缴费</w:t>
      </w:r>
      <w:r w:rsidR="00AB18F5">
        <w:rPr>
          <w:rFonts w:ascii="仿宋_GB2312" w:eastAsia="仿宋_GB2312" w:hAnsi="Times New Roman" w:cs="Times New Roman" w:hint="eastAsia"/>
          <w:kern w:val="0"/>
          <w:sz w:val="30"/>
          <w:szCs w:val="30"/>
        </w:rPr>
        <w:t>105278.38</w:t>
      </w:r>
      <w:r>
        <w:rPr>
          <w:rFonts w:ascii="仿宋_GB2312" w:eastAsia="仿宋_GB2312" w:hAnsi="Times New Roman" w:cs="Times New Roman" w:hint="eastAsia"/>
          <w:kern w:val="0"/>
          <w:sz w:val="30"/>
          <w:szCs w:val="30"/>
        </w:rPr>
        <w:t>元，主要用于：在职人员社会保险支出；住房公积金</w:t>
      </w:r>
      <w:r w:rsidR="00AB18F5">
        <w:rPr>
          <w:rFonts w:ascii="仿宋_GB2312" w:eastAsia="仿宋_GB2312" w:hAnsi="Times New Roman" w:cs="Times New Roman" w:hint="eastAsia"/>
          <w:kern w:val="0"/>
          <w:sz w:val="30"/>
          <w:szCs w:val="30"/>
        </w:rPr>
        <w:t>1942466</w:t>
      </w:r>
      <w:r>
        <w:rPr>
          <w:rFonts w:ascii="仿宋_GB2312" w:eastAsia="仿宋_GB2312" w:hAnsi="Times New Roman" w:cs="Times New Roman" w:hint="eastAsia"/>
          <w:kern w:val="0"/>
          <w:sz w:val="30"/>
          <w:szCs w:val="30"/>
        </w:rPr>
        <w:t>元，主要用于在职人员住房公积金支出；医疗费</w:t>
      </w:r>
      <w:r w:rsidR="00AB18F5">
        <w:rPr>
          <w:rFonts w:ascii="仿宋_GB2312" w:eastAsia="仿宋_GB2312" w:hAnsi="Times New Roman" w:cs="Times New Roman" w:hint="eastAsia"/>
          <w:kern w:val="0"/>
          <w:sz w:val="30"/>
          <w:szCs w:val="30"/>
        </w:rPr>
        <w:t>118915.45</w:t>
      </w:r>
      <w:r>
        <w:rPr>
          <w:rFonts w:ascii="仿宋_GB2312" w:eastAsia="仿宋_GB2312" w:hAnsi="Times New Roman" w:cs="Times New Roman" w:hint="eastAsia"/>
          <w:kern w:val="0"/>
          <w:sz w:val="30"/>
          <w:szCs w:val="30"/>
        </w:rPr>
        <w:t>元，主要用于在职人员医疗费支出；其他工资福利支出</w:t>
      </w:r>
      <w:r w:rsidR="00AB18F5">
        <w:rPr>
          <w:rFonts w:ascii="仿宋_GB2312" w:eastAsia="仿宋_GB2312" w:hAnsi="Times New Roman" w:cs="Times New Roman" w:hint="eastAsia"/>
          <w:kern w:val="0"/>
          <w:sz w:val="30"/>
          <w:szCs w:val="30"/>
        </w:rPr>
        <w:t>371510</w:t>
      </w:r>
      <w:r>
        <w:rPr>
          <w:rFonts w:ascii="仿宋_GB2312" w:eastAsia="仿宋_GB2312" w:hAnsi="Times New Roman" w:cs="Times New Roman" w:hint="eastAsia"/>
          <w:kern w:val="0"/>
          <w:sz w:val="30"/>
          <w:szCs w:val="30"/>
        </w:rPr>
        <w:t>元，主要用于在职人员带薪休假补贴等支出。</w:t>
      </w:r>
    </w:p>
    <w:p w:rsidR="00A50C87" w:rsidRDefault="00DB71A8">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2.商品和服务支出</w:t>
      </w:r>
      <w:r w:rsidR="00AB18F5">
        <w:rPr>
          <w:rFonts w:ascii="仿宋_GB2312" w:eastAsia="仿宋_GB2312" w:hAnsi="Times New Roman" w:cs="Times New Roman" w:hint="eastAsia"/>
          <w:kern w:val="0"/>
          <w:sz w:val="30"/>
          <w:szCs w:val="30"/>
        </w:rPr>
        <w:t>1151068.81</w:t>
      </w:r>
      <w:r>
        <w:rPr>
          <w:rFonts w:ascii="仿宋_GB2312" w:eastAsia="仿宋_GB2312" w:hAnsi="Times New Roman" w:cs="Times New Roman" w:hint="eastAsia"/>
          <w:kern w:val="0"/>
          <w:sz w:val="30"/>
          <w:szCs w:val="30"/>
        </w:rPr>
        <w:t>元，其中：办公费</w:t>
      </w:r>
      <w:r w:rsidR="00AB18F5">
        <w:rPr>
          <w:rFonts w:ascii="仿宋_GB2312" w:eastAsia="仿宋_GB2312" w:hAnsi="Times New Roman" w:cs="Times New Roman" w:hint="eastAsia"/>
          <w:kern w:val="0"/>
          <w:sz w:val="30"/>
          <w:szCs w:val="30"/>
        </w:rPr>
        <w:t>159541.84</w:t>
      </w:r>
      <w:r>
        <w:rPr>
          <w:rFonts w:ascii="仿宋_GB2312" w:eastAsia="仿宋_GB2312" w:hAnsi="Times New Roman" w:cs="Times New Roman" w:hint="eastAsia"/>
          <w:kern w:val="0"/>
          <w:sz w:val="30"/>
          <w:szCs w:val="30"/>
        </w:rPr>
        <w:t>元，主要用于：日常办公支出；手续费</w:t>
      </w:r>
      <w:r w:rsidR="00AB18F5">
        <w:rPr>
          <w:rFonts w:ascii="仿宋_GB2312" w:eastAsia="仿宋_GB2312" w:hAnsi="Times New Roman" w:cs="Times New Roman" w:hint="eastAsia"/>
          <w:kern w:val="0"/>
          <w:sz w:val="30"/>
          <w:szCs w:val="30"/>
        </w:rPr>
        <w:t>3322.33</w:t>
      </w:r>
      <w:r>
        <w:rPr>
          <w:rFonts w:ascii="仿宋_GB2312" w:eastAsia="仿宋_GB2312" w:hAnsi="Times New Roman" w:cs="Times New Roman" w:hint="eastAsia"/>
          <w:kern w:val="0"/>
          <w:sz w:val="30"/>
          <w:szCs w:val="30"/>
        </w:rPr>
        <w:t>元，主要用于：支付各类手续费支出；水费</w:t>
      </w:r>
      <w:r w:rsidR="00AB18F5">
        <w:rPr>
          <w:rFonts w:ascii="仿宋_GB2312" w:eastAsia="仿宋_GB2312" w:hAnsi="Times New Roman" w:cs="Times New Roman" w:hint="eastAsia"/>
          <w:kern w:val="0"/>
          <w:sz w:val="30"/>
          <w:szCs w:val="30"/>
        </w:rPr>
        <w:t>60079.20</w:t>
      </w:r>
      <w:r>
        <w:rPr>
          <w:rFonts w:ascii="仿宋_GB2312" w:eastAsia="仿宋_GB2312" w:hAnsi="Times New Roman" w:cs="Times New Roman" w:hint="eastAsia"/>
          <w:kern w:val="0"/>
          <w:sz w:val="30"/>
          <w:szCs w:val="30"/>
        </w:rPr>
        <w:t>元，主要用于：支付水费等支出；邮电费</w:t>
      </w:r>
      <w:r w:rsidR="00AB18F5">
        <w:rPr>
          <w:rFonts w:ascii="仿宋_GB2312" w:eastAsia="仿宋_GB2312" w:hAnsi="Times New Roman" w:cs="Times New Roman" w:hint="eastAsia"/>
          <w:kern w:val="0"/>
          <w:sz w:val="30"/>
          <w:szCs w:val="30"/>
        </w:rPr>
        <w:t>22761.38</w:t>
      </w:r>
      <w:r>
        <w:rPr>
          <w:rFonts w:ascii="仿宋_GB2312" w:eastAsia="仿宋_GB2312" w:hAnsi="Times New Roman" w:cs="Times New Roman" w:hint="eastAsia"/>
          <w:kern w:val="0"/>
          <w:sz w:val="30"/>
          <w:szCs w:val="30"/>
        </w:rPr>
        <w:t>元，主要用于：支付邮寄费及电话费等支出；取暖费</w:t>
      </w:r>
      <w:r w:rsidR="00AB18F5">
        <w:rPr>
          <w:rFonts w:ascii="仿宋_GB2312" w:eastAsia="仿宋_GB2312" w:hAnsi="Times New Roman" w:cs="Times New Roman" w:hint="eastAsia"/>
          <w:kern w:val="0"/>
          <w:sz w:val="30"/>
          <w:szCs w:val="30"/>
        </w:rPr>
        <w:t>9175.60</w:t>
      </w:r>
      <w:r>
        <w:rPr>
          <w:rFonts w:ascii="仿宋_GB2312" w:eastAsia="仿宋_GB2312" w:hAnsi="Times New Roman" w:cs="Times New Roman" w:hint="eastAsia"/>
          <w:kern w:val="0"/>
          <w:sz w:val="30"/>
          <w:szCs w:val="30"/>
        </w:rPr>
        <w:t>元，主要用于：全年办公用房供暖费支出；物业管理费</w:t>
      </w:r>
      <w:r w:rsidR="00AB18F5">
        <w:rPr>
          <w:rFonts w:ascii="仿宋_GB2312" w:eastAsia="仿宋_GB2312" w:hAnsi="Times New Roman" w:cs="Times New Roman" w:hint="eastAsia"/>
          <w:kern w:val="0"/>
          <w:sz w:val="30"/>
          <w:szCs w:val="30"/>
        </w:rPr>
        <w:t>105820</w:t>
      </w:r>
      <w:r>
        <w:rPr>
          <w:rFonts w:ascii="仿宋_GB2312" w:eastAsia="仿宋_GB2312" w:hAnsi="Times New Roman" w:cs="Times New Roman" w:hint="eastAsia"/>
          <w:kern w:val="0"/>
          <w:sz w:val="30"/>
          <w:szCs w:val="30"/>
        </w:rPr>
        <w:t>元，主要用于：物业管理支出；差旅费</w:t>
      </w:r>
      <w:r w:rsidR="00AB18F5">
        <w:rPr>
          <w:rFonts w:ascii="仿宋_GB2312" w:eastAsia="仿宋_GB2312" w:hAnsi="Times New Roman" w:cs="Times New Roman" w:hint="eastAsia"/>
          <w:kern w:val="0"/>
          <w:sz w:val="30"/>
          <w:szCs w:val="30"/>
        </w:rPr>
        <w:t>28175.30</w:t>
      </w:r>
      <w:r>
        <w:rPr>
          <w:rFonts w:ascii="仿宋_GB2312" w:eastAsia="仿宋_GB2312" w:hAnsi="Times New Roman" w:cs="Times New Roman" w:hint="eastAsia"/>
          <w:kern w:val="0"/>
          <w:sz w:val="30"/>
          <w:szCs w:val="30"/>
        </w:rPr>
        <w:t>元，主要用于：全年差旅费支出；维修（护）费</w:t>
      </w:r>
      <w:r w:rsidR="00AB18F5">
        <w:rPr>
          <w:rFonts w:ascii="仿宋_GB2312" w:eastAsia="仿宋_GB2312" w:hAnsi="Times New Roman" w:cs="Times New Roman" w:hint="eastAsia"/>
          <w:kern w:val="0"/>
          <w:sz w:val="30"/>
          <w:szCs w:val="30"/>
        </w:rPr>
        <w:t>185995.50</w:t>
      </w:r>
      <w:r>
        <w:rPr>
          <w:rFonts w:ascii="仿宋_GB2312" w:eastAsia="仿宋_GB2312" w:hAnsi="Times New Roman" w:cs="Times New Roman" w:hint="eastAsia"/>
          <w:kern w:val="0"/>
          <w:sz w:val="30"/>
          <w:szCs w:val="30"/>
        </w:rPr>
        <w:t>元，主要用于：全年维修（护）费支出；劳务费</w:t>
      </w:r>
      <w:r w:rsidR="00AB18F5">
        <w:rPr>
          <w:rFonts w:ascii="仿宋_GB2312" w:eastAsia="仿宋_GB2312" w:hAnsi="Times New Roman" w:cs="Times New Roman" w:hint="eastAsia"/>
          <w:kern w:val="0"/>
          <w:sz w:val="30"/>
          <w:szCs w:val="30"/>
        </w:rPr>
        <w:t>43900</w:t>
      </w:r>
      <w:r>
        <w:rPr>
          <w:rFonts w:ascii="仿宋_GB2312" w:eastAsia="仿宋_GB2312" w:hAnsi="Times New Roman" w:cs="Times New Roman" w:hint="eastAsia"/>
          <w:kern w:val="0"/>
          <w:sz w:val="30"/>
          <w:szCs w:val="30"/>
        </w:rPr>
        <w:t>元，主要用于：各类劳务费支出；工会经费</w:t>
      </w:r>
      <w:r w:rsidR="00AB18F5">
        <w:rPr>
          <w:rFonts w:ascii="仿宋_GB2312" w:eastAsia="仿宋_GB2312" w:hAnsi="Times New Roman" w:cs="Times New Roman" w:hint="eastAsia"/>
          <w:kern w:val="0"/>
          <w:sz w:val="30"/>
          <w:szCs w:val="30"/>
        </w:rPr>
        <w:t>71000</w:t>
      </w:r>
      <w:r>
        <w:rPr>
          <w:rFonts w:ascii="仿宋_GB2312" w:eastAsia="仿宋_GB2312" w:hAnsi="Times New Roman" w:cs="Times New Roman" w:hint="eastAsia"/>
          <w:kern w:val="0"/>
          <w:sz w:val="30"/>
          <w:szCs w:val="30"/>
        </w:rPr>
        <w:t>元，主要用于：工会经费支出；福利费</w:t>
      </w:r>
      <w:r w:rsidR="00AB18F5">
        <w:rPr>
          <w:rFonts w:ascii="仿宋_GB2312" w:eastAsia="仿宋_GB2312" w:hAnsi="Times New Roman" w:cs="Times New Roman" w:hint="eastAsia"/>
          <w:kern w:val="0"/>
          <w:sz w:val="30"/>
          <w:szCs w:val="30"/>
        </w:rPr>
        <w:t>114087</w:t>
      </w:r>
      <w:r>
        <w:rPr>
          <w:rFonts w:ascii="仿宋_GB2312" w:eastAsia="仿宋_GB2312" w:hAnsi="Times New Roman" w:cs="Times New Roman" w:hint="eastAsia"/>
          <w:kern w:val="0"/>
          <w:sz w:val="30"/>
          <w:szCs w:val="30"/>
        </w:rPr>
        <w:t>元，主要用于：支付的福利费；其他交通费用</w:t>
      </w:r>
      <w:r w:rsidR="005D63AD">
        <w:rPr>
          <w:rFonts w:ascii="仿宋_GB2312" w:eastAsia="仿宋_GB2312" w:hAnsi="Times New Roman" w:cs="Times New Roman" w:hint="eastAsia"/>
          <w:kern w:val="0"/>
          <w:sz w:val="30"/>
          <w:szCs w:val="30"/>
        </w:rPr>
        <w:t>10125</w:t>
      </w:r>
      <w:r>
        <w:rPr>
          <w:rFonts w:ascii="仿宋_GB2312" w:eastAsia="仿宋_GB2312" w:hAnsi="Times New Roman" w:cs="Times New Roman" w:hint="eastAsia"/>
          <w:kern w:val="0"/>
          <w:sz w:val="30"/>
          <w:szCs w:val="30"/>
        </w:rPr>
        <w:t>元，主要用于：其他交通费用支出；</w:t>
      </w:r>
      <w:r w:rsidR="005D63AD">
        <w:rPr>
          <w:rFonts w:ascii="仿宋_GB2312" w:eastAsia="仿宋_GB2312" w:hAnsi="Times New Roman" w:cs="Times New Roman" w:hint="eastAsia"/>
          <w:kern w:val="0"/>
          <w:sz w:val="30"/>
          <w:szCs w:val="30"/>
        </w:rPr>
        <w:t>税金及附加费用15494.73元，主要用于：代扣代缴个人所得税和其他税费；</w:t>
      </w:r>
      <w:r>
        <w:rPr>
          <w:rFonts w:ascii="仿宋_GB2312" w:eastAsia="仿宋_GB2312" w:hAnsi="Times New Roman" w:cs="Times New Roman" w:hint="eastAsia"/>
          <w:kern w:val="0"/>
          <w:sz w:val="30"/>
          <w:szCs w:val="30"/>
        </w:rPr>
        <w:t>其他商品和服务支出</w:t>
      </w:r>
      <w:r w:rsidR="005D63AD">
        <w:rPr>
          <w:rFonts w:ascii="仿宋_GB2312" w:eastAsia="仿宋_GB2312" w:hAnsi="Times New Roman" w:cs="Times New Roman" w:hint="eastAsia"/>
          <w:kern w:val="0"/>
          <w:sz w:val="30"/>
          <w:szCs w:val="30"/>
        </w:rPr>
        <w:t>321590.93</w:t>
      </w:r>
      <w:r>
        <w:rPr>
          <w:rFonts w:ascii="仿宋_GB2312" w:eastAsia="仿宋_GB2312" w:hAnsi="Times New Roman" w:cs="Times New Roman" w:hint="eastAsia"/>
          <w:kern w:val="0"/>
          <w:sz w:val="30"/>
          <w:szCs w:val="30"/>
        </w:rPr>
        <w:t>元，主要用于：宣传经费、公用经费等支出。</w:t>
      </w:r>
    </w:p>
    <w:p w:rsidR="00A50C87" w:rsidRDefault="00DB71A8">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3.对个人和家庭补助（项）</w:t>
      </w:r>
      <w:r w:rsidR="00ED519D">
        <w:rPr>
          <w:rFonts w:ascii="仿宋_GB2312" w:eastAsia="仿宋_GB2312" w:hAnsi="Times New Roman" w:cs="Times New Roman" w:hint="eastAsia"/>
          <w:kern w:val="0"/>
          <w:sz w:val="30"/>
          <w:szCs w:val="30"/>
        </w:rPr>
        <w:t>313973.30</w:t>
      </w:r>
      <w:r>
        <w:rPr>
          <w:rFonts w:ascii="仿宋_GB2312" w:eastAsia="仿宋_GB2312" w:hAnsi="Times New Roman" w:cs="Times New Roman" w:hint="eastAsia"/>
          <w:kern w:val="0"/>
          <w:sz w:val="30"/>
          <w:szCs w:val="30"/>
        </w:rPr>
        <w:t>元，其中：离休费</w:t>
      </w:r>
      <w:r w:rsidR="00ED519D">
        <w:rPr>
          <w:rFonts w:ascii="仿宋_GB2312" w:eastAsia="仿宋_GB2312" w:hAnsi="Times New Roman" w:cs="Times New Roman" w:hint="eastAsia"/>
          <w:kern w:val="0"/>
          <w:sz w:val="30"/>
          <w:szCs w:val="30"/>
        </w:rPr>
        <w:t>121620.40</w:t>
      </w:r>
      <w:r>
        <w:rPr>
          <w:rFonts w:ascii="仿宋_GB2312" w:eastAsia="仿宋_GB2312" w:hAnsi="Times New Roman" w:cs="Times New Roman" w:hint="eastAsia"/>
          <w:kern w:val="0"/>
          <w:sz w:val="30"/>
          <w:szCs w:val="30"/>
        </w:rPr>
        <w:t>元，主要用于支付离休人员工资；退休费</w:t>
      </w:r>
      <w:r w:rsidR="00ED519D">
        <w:rPr>
          <w:rFonts w:ascii="仿宋_GB2312" w:eastAsia="仿宋_GB2312" w:hAnsi="Times New Roman" w:cs="Times New Roman" w:hint="eastAsia"/>
          <w:kern w:val="0"/>
          <w:sz w:val="30"/>
          <w:szCs w:val="30"/>
        </w:rPr>
        <w:t>136612.90</w:t>
      </w:r>
      <w:r>
        <w:rPr>
          <w:rFonts w:ascii="仿宋_GB2312" w:eastAsia="仿宋_GB2312" w:hAnsi="Times New Roman" w:cs="Times New Roman" w:hint="eastAsia"/>
          <w:kern w:val="0"/>
          <w:sz w:val="30"/>
          <w:szCs w:val="30"/>
        </w:rPr>
        <w:t>元，主要用于退休人员工资支出；</w:t>
      </w:r>
      <w:r w:rsidR="00ED519D">
        <w:rPr>
          <w:rFonts w:ascii="仿宋_GB2312" w:eastAsia="仿宋_GB2312" w:hAnsi="Times New Roman" w:cs="Times New Roman" w:hint="eastAsia"/>
          <w:kern w:val="0"/>
          <w:sz w:val="30"/>
          <w:szCs w:val="30"/>
        </w:rPr>
        <w:t>抚恤金51220</w:t>
      </w:r>
      <w:r>
        <w:rPr>
          <w:rFonts w:ascii="仿宋_GB2312" w:eastAsia="仿宋_GB2312" w:hAnsi="Times New Roman" w:cs="Times New Roman" w:hint="eastAsia"/>
          <w:kern w:val="0"/>
          <w:sz w:val="30"/>
          <w:szCs w:val="30"/>
        </w:rPr>
        <w:t>元，</w:t>
      </w:r>
      <w:r w:rsidR="00ED519D">
        <w:rPr>
          <w:rFonts w:ascii="仿宋_GB2312" w:eastAsia="仿宋_GB2312" w:hAnsi="Times New Roman" w:cs="Times New Roman" w:hint="eastAsia"/>
          <w:kern w:val="0"/>
          <w:sz w:val="30"/>
          <w:szCs w:val="30"/>
        </w:rPr>
        <w:t>主要用于支付退休人员丧葬费；奖励金720元，主要用于：支付职工独生</w:t>
      </w:r>
      <w:r w:rsidR="00ED519D">
        <w:rPr>
          <w:rFonts w:ascii="仿宋_GB2312" w:eastAsia="仿宋_GB2312" w:hAnsi="Times New Roman" w:cs="Times New Roman" w:hint="eastAsia"/>
          <w:kern w:val="0"/>
          <w:sz w:val="30"/>
          <w:szCs w:val="30"/>
        </w:rPr>
        <w:lastRenderedPageBreak/>
        <w:t>子女补助及女工委员补助；其他对个人和家庭的补助3800元，</w:t>
      </w:r>
      <w:r>
        <w:rPr>
          <w:rFonts w:ascii="仿宋_GB2312" w:eastAsia="仿宋_GB2312" w:hAnsi="Times New Roman" w:cs="Times New Roman" w:hint="eastAsia"/>
          <w:kern w:val="0"/>
          <w:sz w:val="30"/>
          <w:szCs w:val="30"/>
        </w:rPr>
        <w:t>主要用于：慰问特困补助支出</w:t>
      </w:r>
      <w:r w:rsidR="00ED519D">
        <w:rPr>
          <w:rFonts w:ascii="仿宋_GB2312" w:eastAsia="仿宋_GB2312" w:hAnsi="Times New Roman" w:cs="Times New Roman" w:hint="eastAsia"/>
          <w:kern w:val="0"/>
          <w:sz w:val="30"/>
          <w:szCs w:val="30"/>
        </w:rPr>
        <w:t>。</w:t>
      </w:r>
    </w:p>
    <w:p w:rsidR="00A50C87" w:rsidRDefault="00C429D7" w:rsidP="00ED435E">
      <w:pPr>
        <w:spacing w:line="580" w:lineRule="exact"/>
        <w:ind w:firstLineChars="200" w:firstLine="600"/>
        <w:rPr>
          <w:rFonts w:ascii="楷体_GB2312" w:eastAsia="楷体_GB2312"/>
          <w:b/>
          <w:sz w:val="30"/>
          <w:szCs w:val="30"/>
        </w:rPr>
      </w:pPr>
      <w:r>
        <w:rPr>
          <w:rFonts w:ascii="楷体_GB2312" w:eastAsia="楷体_GB2312" w:hint="eastAsia"/>
          <w:b/>
          <w:sz w:val="30"/>
          <w:szCs w:val="30"/>
        </w:rPr>
        <w:t>五</w:t>
      </w:r>
      <w:r w:rsidR="00DB71A8">
        <w:rPr>
          <w:rFonts w:ascii="楷体_GB2312" w:eastAsia="楷体_GB2312" w:hint="eastAsia"/>
          <w:b/>
          <w:sz w:val="30"/>
          <w:szCs w:val="30"/>
        </w:rPr>
        <w:t>、</w:t>
      </w:r>
      <w:r w:rsidR="00ED435E">
        <w:rPr>
          <w:rFonts w:ascii="楷体_GB2312" w:eastAsia="楷体_GB2312" w:hint="eastAsia"/>
          <w:b/>
          <w:sz w:val="30"/>
          <w:szCs w:val="30"/>
        </w:rPr>
        <w:t>2019</w:t>
      </w:r>
      <w:r w:rsidR="00DB71A8">
        <w:rPr>
          <w:rFonts w:ascii="楷体_GB2312" w:eastAsia="楷体_GB2312" w:hint="eastAsia"/>
          <w:b/>
          <w:sz w:val="30"/>
          <w:szCs w:val="30"/>
        </w:rPr>
        <w:t>年度部门决算政府性基金预算财政拨款收入支出情况</w:t>
      </w:r>
    </w:p>
    <w:p w:rsidR="00A50C87" w:rsidRDefault="00DB71A8">
      <w:pPr>
        <w:adjustRightInd w:val="0"/>
        <w:spacing w:line="580" w:lineRule="exact"/>
        <w:ind w:firstLineChars="200" w:firstLine="600"/>
        <w:jc w:val="left"/>
        <w:textAlignment w:val="baseline"/>
        <w:rPr>
          <w:rFonts w:ascii="仿宋_GB2312" w:eastAsia="仿宋_GB2312" w:hAnsi="Times New Roman" w:cs="Times New Roman" w:hint="eastAsia"/>
          <w:kern w:val="0"/>
          <w:sz w:val="30"/>
          <w:szCs w:val="30"/>
        </w:rPr>
      </w:pPr>
      <w:r>
        <w:rPr>
          <w:rFonts w:ascii="仿宋_GB2312" w:eastAsia="仿宋_GB2312" w:hAnsi="Times New Roman" w:cs="Times New Roman" w:hint="eastAsia"/>
          <w:kern w:val="0"/>
          <w:sz w:val="30"/>
          <w:szCs w:val="30"/>
        </w:rPr>
        <w:t>天津市人力资源和社会保障宣传教育科研中心</w:t>
      </w:r>
      <w:r w:rsidR="00ED435E">
        <w:rPr>
          <w:rFonts w:ascii="仿宋_GB2312" w:eastAsia="仿宋_GB2312" w:hAnsi="Times New Roman" w:cs="Times New Roman" w:hint="eastAsia"/>
          <w:kern w:val="0"/>
          <w:sz w:val="30"/>
          <w:szCs w:val="30"/>
        </w:rPr>
        <w:t>2019</w:t>
      </w:r>
      <w:r>
        <w:rPr>
          <w:rFonts w:ascii="仿宋_GB2312" w:eastAsia="仿宋_GB2312" w:hAnsi="Times New Roman" w:cs="Times New Roman" w:hint="eastAsia"/>
          <w:kern w:val="0"/>
          <w:sz w:val="30"/>
          <w:szCs w:val="30"/>
        </w:rPr>
        <w:t>年度部门决算政府性基金预算无收入、支出和结转结余。</w:t>
      </w:r>
    </w:p>
    <w:p w:rsidR="00C429D7" w:rsidRDefault="00C429D7" w:rsidP="00C429D7">
      <w:pPr>
        <w:spacing w:line="580" w:lineRule="exact"/>
        <w:rPr>
          <w:rFonts w:eastAsia="楷体_GB2312" w:hint="eastAsia"/>
          <w:b/>
          <w:sz w:val="30"/>
          <w:szCs w:val="30"/>
        </w:rPr>
      </w:pPr>
      <w:r>
        <w:rPr>
          <w:rFonts w:ascii="Calibri" w:eastAsia="楷体_GB2312" w:hAnsi="Calibri" w:cs="Times New Roman" w:hint="eastAsia"/>
          <w:b/>
          <w:sz w:val="30"/>
          <w:szCs w:val="30"/>
        </w:rPr>
        <w:t>六、</w:t>
      </w:r>
      <w:r>
        <w:rPr>
          <w:rFonts w:ascii="Calibri" w:eastAsia="楷体_GB2312" w:hAnsi="Calibri" w:cs="Times New Roman"/>
          <w:b/>
          <w:sz w:val="30"/>
          <w:szCs w:val="30"/>
        </w:rPr>
        <w:t>2019</w:t>
      </w:r>
      <w:r>
        <w:rPr>
          <w:rFonts w:ascii="Calibri" w:eastAsia="楷体_GB2312" w:hAnsi="Calibri" w:cs="Times New Roman"/>
          <w:b/>
          <w:sz w:val="30"/>
          <w:szCs w:val="30"/>
        </w:rPr>
        <w:t>年度一般公共预算财政拨款</w:t>
      </w:r>
      <w:r>
        <w:rPr>
          <w:rFonts w:ascii="Calibri" w:eastAsia="楷体_GB2312" w:hAnsi="Calibri" w:cs="Times New Roman"/>
          <w:b/>
          <w:sz w:val="30"/>
          <w:szCs w:val="30"/>
        </w:rPr>
        <w:t>“</w:t>
      </w:r>
      <w:r>
        <w:rPr>
          <w:rFonts w:ascii="Calibri" w:eastAsia="楷体_GB2312" w:hAnsi="Calibri" w:cs="Times New Roman"/>
          <w:b/>
          <w:sz w:val="30"/>
          <w:szCs w:val="30"/>
        </w:rPr>
        <w:t>三公</w:t>
      </w:r>
      <w:r>
        <w:rPr>
          <w:rFonts w:ascii="Calibri" w:eastAsia="楷体_GB2312" w:hAnsi="Calibri" w:cs="Times New Roman"/>
          <w:b/>
          <w:sz w:val="30"/>
          <w:szCs w:val="30"/>
        </w:rPr>
        <w:t>”</w:t>
      </w:r>
      <w:r>
        <w:rPr>
          <w:rFonts w:ascii="Calibri" w:eastAsia="楷体_GB2312" w:hAnsi="Calibri" w:cs="Times New Roman"/>
          <w:b/>
          <w:sz w:val="30"/>
          <w:szCs w:val="30"/>
        </w:rPr>
        <w:t>经费决算情况说明</w:t>
      </w:r>
    </w:p>
    <w:p w:rsidR="00C429D7" w:rsidRDefault="00C429D7" w:rsidP="00C429D7">
      <w:pPr>
        <w:spacing w:line="580" w:lineRule="exact"/>
        <w:rPr>
          <w:rFonts w:ascii="Calibri" w:eastAsia="楷体_GB2312" w:hAnsi="Calibri" w:cs="Times New Roman"/>
          <w:b/>
          <w:sz w:val="30"/>
          <w:szCs w:val="30"/>
        </w:rPr>
      </w:pPr>
      <w:r>
        <w:rPr>
          <w:rFonts w:ascii="仿宋_GB2312" w:eastAsia="仿宋_GB2312" w:hAnsi="Calibri" w:cs="Times New Roman" w:hint="eastAsia"/>
          <w:sz w:val="30"/>
          <w:szCs w:val="30"/>
        </w:rPr>
        <w:t>2019年一般公共预算财政拨款“三公”经费决算</w:t>
      </w:r>
      <w:r>
        <w:rPr>
          <w:rFonts w:ascii="仿宋_GB2312" w:eastAsia="仿宋_GB2312" w:hint="eastAsia"/>
          <w:sz w:val="30"/>
          <w:szCs w:val="30"/>
        </w:rPr>
        <w:t>0元</w:t>
      </w:r>
    </w:p>
    <w:p w:rsidR="00C429D7" w:rsidRDefault="00C429D7" w:rsidP="00C429D7">
      <w:pPr>
        <w:spacing w:line="580" w:lineRule="exact"/>
        <w:ind w:firstLine="600"/>
        <w:rPr>
          <w:rFonts w:ascii="Calibri" w:eastAsia="楷体_GB2312" w:hAnsi="Calibri" w:cs="Times New Roman" w:hint="eastAsia"/>
          <w:b/>
          <w:sz w:val="30"/>
          <w:szCs w:val="30"/>
        </w:rPr>
      </w:pPr>
      <w:r>
        <w:rPr>
          <w:rFonts w:ascii="Calibri" w:eastAsia="楷体_GB2312" w:hAnsi="Calibri" w:cs="Times New Roman" w:hint="eastAsia"/>
          <w:b/>
          <w:sz w:val="30"/>
          <w:szCs w:val="30"/>
        </w:rPr>
        <w:t>七、其他重要事项的情况说明</w:t>
      </w:r>
    </w:p>
    <w:p w:rsidR="00C429D7" w:rsidRDefault="00C429D7" w:rsidP="00C429D7">
      <w:pPr>
        <w:spacing w:line="580" w:lineRule="exact"/>
        <w:ind w:firstLine="600"/>
        <w:rPr>
          <w:rFonts w:ascii="Calibri" w:eastAsia="仿宋_GB2312" w:hAnsi="Calibri" w:cs="Times New Roman"/>
          <w:b/>
          <w:sz w:val="30"/>
          <w:szCs w:val="30"/>
        </w:rPr>
      </w:pPr>
      <w:r>
        <w:rPr>
          <w:rFonts w:ascii="Calibri" w:eastAsia="仿宋_GB2312" w:hAnsi="Calibri" w:cs="Times New Roman"/>
          <w:b/>
          <w:sz w:val="30"/>
          <w:szCs w:val="30"/>
        </w:rPr>
        <w:t>（一）机关运行经费</w:t>
      </w:r>
      <w:r>
        <w:rPr>
          <w:rFonts w:ascii="Calibri" w:eastAsia="仿宋_GB2312" w:hAnsi="Calibri" w:cs="Times New Roman" w:hint="eastAsia"/>
          <w:b/>
          <w:sz w:val="30"/>
          <w:szCs w:val="30"/>
        </w:rPr>
        <w:t>支出情况</w:t>
      </w:r>
    </w:p>
    <w:p w:rsidR="00C429D7" w:rsidRPr="00C429D7" w:rsidRDefault="00C429D7" w:rsidP="00C429D7">
      <w:pPr>
        <w:adjustRightInd w:val="0"/>
        <w:spacing w:line="580" w:lineRule="exact"/>
        <w:ind w:firstLine="600"/>
        <w:jc w:val="left"/>
        <w:textAlignment w:val="baseline"/>
        <w:rPr>
          <w:rFonts w:ascii="楷体_GB2312" w:eastAsia="楷体_GB2312" w:hAnsi="Times New Roman" w:cs="Times New Roman"/>
          <w:b/>
          <w:kern w:val="0"/>
          <w:sz w:val="30"/>
          <w:szCs w:val="30"/>
        </w:rPr>
      </w:pPr>
      <w:r w:rsidRPr="00C429D7">
        <w:rPr>
          <w:rFonts w:ascii="楷体_GB2312" w:eastAsia="楷体_GB2312" w:hAnsi="Times New Roman" w:cs="Times New Roman" w:hint="eastAsia"/>
          <w:b/>
          <w:kern w:val="0"/>
          <w:sz w:val="30"/>
          <w:szCs w:val="30"/>
        </w:rPr>
        <w:t>2019年度机关运行经费决算数</w:t>
      </w:r>
    </w:p>
    <w:p w:rsidR="00C429D7" w:rsidRDefault="00C429D7" w:rsidP="00C429D7">
      <w:pPr>
        <w:snapToGrid w:val="0"/>
        <w:spacing w:line="60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机关运行经费是指行政单位和参照公务员法管理的事业单位使用一般公共预算财政拨款安排的基本支出中的日常公用经费支出，天津市人力资源和社会保障宣传教育科研中心2019年度机关运行经费决算数为0元。</w:t>
      </w:r>
    </w:p>
    <w:p w:rsidR="00C429D7" w:rsidRDefault="00C429D7" w:rsidP="00C429D7">
      <w:pPr>
        <w:spacing w:line="580" w:lineRule="exact"/>
        <w:ind w:firstLine="600"/>
        <w:rPr>
          <w:rFonts w:ascii="Calibri" w:eastAsia="仿宋_GB2312" w:hAnsi="Calibri" w:cs="Times New Roman"/>
          <w:b/>
          <w:sz w:val="30"/>
          <w:szCs w:val="30"/>
        </w:rPr>
      </w:pPr>
      <w:r>
        <w:rPr>
          <w:rFonts w:ascii="Calibri" w:eastAsia="仿宋_GB2312" w:hAnsi="Calibri" w:cs="Times New Roman" w:hint="eastAsia"/>
          <w:b/>
          <w:sz w:val="30"/>
          <w:szCs w:val="30"/>
        </w:rPr>
        <w:t>（二）</w:t>
      </w:r>
      <w:r>
        <w:rPr>
          <w:rFonts w:ascii="Calibri" w:eastAsia="仿宋_GB2312" w:hAnsi="Calibri" w:cs="Times New Roman"/>
          <w:b/>
          <w:sz w:val="30"/>
          <w:szCs w:val="30"/>
        </w:rPr>
        <w:t>政府采购</w:t>
      </w:r>
      <w:r>
        <w:rPr>
          <w:rFonts w:ascii="Calibri" w:eastAsia="仿宋_GB2312" w:hAnsi="Calibri" w:cs="Times New Roman" w:hint="eastAsia"/>
          <w:b/>
          <w:sz w:val="30"/>
          <w:szCs w:val="30"/>
        </w:rPr>
        <w:t>支出</w:t>
      </w:r>
      <w:r>
        <w:rPr>
          <w:rFonts w:ascii="Calibri" w:eastAsia="仿宋_GB2312" w:hAnsi="Calibri" w:cs="Times New Roman"/>
          <w:b/>
          <w:sz w:val="30"/>
          <w:szCs w:val="30"/>
        </w:rPr>
        <w:t>情况</w:t>
      </w:r>
    </w:p>
    <w:p w:rsidR="00A50C87" w:rsidRDefault="00DB71A8">
      <w:pPr>
        <w:snapToGrid w:val="0"/>
        <w:spacing w:line="600" w:lineRule="exact"/>
        <w:ind w:firstLineChars="200" w:firstLine="640"/>
        <w:rPr>
          <w:rFonts w:ascii="仿宋_GB2312" w:eastAsia="仿宋_GB2312" w:hAnsi="Times New Roman" w:cs="Times New Roman"/>
          <w:kern w:val="0"/>
          <w:sz w:val="30"/>
          <w:szCs w:val="30"/>
        </w:rPr>
      </w:pPr>
      <w:r>
        <w:rPr>
          <w:rFonts w:ascii="仿宋" w:eastAsia="仿宋" w:hAnsi="仿宋" w:hint="eastAsia"/>
          <w:sz w:val="32"/>
          <w:szCs w:val="32"/>
        </w:rPr>
        <w:t>天</w:t>
      </w:r>
      <w:r>
        <w:rPr>
          <w:rFonts w:ascii="仿宋_GB2312" w:eastAsia="仿宋_GB2312" w:hAnsi="Times New Roman" w:cs="Times New Roman" w:hint="eastAsia"/>
          <w:kern w:val="0"/>
          <w:sz w:val="30"/>
          <w:szCs w:val="30"/>
        </w:rPr>
        <w:t>津市人力资源和社会保障宣传教育科研中心</w:t>
      </w:r>
      <w:r w:rsidR="00ED435E">
        <w:rPr>
          <w:rFonts w:ascii="仿宋_GB2312" w:eastAsia="仿宋_GB2312" w:hAnsi="Times New Roman" w:cs="Times New Roman" w:hint="eastAsia"/>
          <w:kern w:val="0"/>
          <w:sz w:val="30"/>
          <w:szCs w:val="30"/>
        </w:rPr>
        <w:t>2019</w:t>
      </w:r>
      <w:r>
        <w:rPr>
          <w:rFonts w:ascii="仿宋_GB2312" w:eastAsia="仿宋_GB2312" w:hAnsi="Times New Roman" w:cs="Times New Roman" w:hint="eastAsia"/>
          <w:kern w:val="0"/>
          <w:sz w:val="30"/>
          <w:szCs w:val="30"/>
        </w:rPr>
        <w:t>年政府采购支出总额</w:t>
      </w:r>
      <w:r w:rsidR="001135F0">
        <w:rPr>
          <w:rFonts w:ascii="仿宋_GB2312" w:eastAsia="仿宋_GB2312" w:hAnsi="Times New Roman" w:cs="Times New Roman" w:hint="eastAsia"/>
          <w:kern w:val="0"/>
          <w:sz w:val="30"/>
          <w:szCs w:val="30"/>
        </w:rPr>
        <w:t>315210</w:t>
      </w:r>
      <w:r>
        <w:rPr>
          <w:rFonts w:ascii="仿宋_GB2312" w:eastAsia="仿宋_GB2312" w:hAnsi="Times New Roman" w:cs="Times New Roman" w:hint="eastAsia"/>
          <w:kern w:val="0"/>
          <w:sz w:val="30"/>
          <w:szCs w:val="30"/>
        </w:rPr>
        <w:t>元，均为采购货物支出</w:t>
      </w:r>
      <w:bookmarkStart w:id="0" w:name="_GoBack"/>
      <w:bookmarkEnd w:id="0"/>
      <w:r>
        <w:rPr>
          <w:rFonts w:ascii="仿宋_GB2312" w:eastAsia="仿宋_GB2312" w:hAnsi="Times New Roman" w:cs="Times New Roman" w:hint="eastAsia"/>
          <w:kern w:val="0"/>
          <w:sz w:val="30"/>
          <w:szCs w:val="30"/>
        </w:rPr>
        <w:t>。</w:t>
      </w:r>
    </w:p>
    <w:p w:rsidR="00C429D7" w:rsidRDefault="00C429D7" w:rsidP="00C429D7">
      <w:pPr>
        <w:spacing w:line="580" w:lineRule="exact"/>
        <w:ind w:firstLineChars="200" w:firstLine="600"/>
        <w:rPr>
          <w:rFonts w:ascii="仿宋_GB2312" w:eastAsia="仿宋_GB2312" w:hAnsi="仿宋_GB2312" w:cs="仿宋_GB2312" w:hint="eastAsia"/>
        </w:rPr>
      </w:pPr>
      <w:r>
        <w:rPr>
          <w:rFonts w:ascii="仿宋_GB2312" w:eastAsia="仿宋_GB2312" w:hAnsi="仿宋_GB2312" w:cs="仿宋_GB2312" w:hint="eastAsia"/>
          <w:b/>
          <w:bCs/>
          <w:color w:val="000000"/>
          <w:sz w:val="30"/>
          <w:szCs w:val="30"/>
        </w:rPr>
        <w:t>（三）国有资产占有使用情况</w:t>
      </w:r>
    </w:p>
    <w:p w:rsidR="00A50C87" w:rsidRDefault="00DB71A8">
      <w:pPr>
        <w:adjustRightInd w:val="0"/>
        <w:spacing w:line="580" w:lineRule="exact"/>
        <w:ind w:firstLineChars="200" w:firstLine="600"/>
        <w:jc w:val="left"/>
        <w:textAlignment w:val="baseline"/>
        <w:rPr>
          <w:rFonts w:ascii="仿宋_GB2312" w:eastAsia="仿宋_GB2312" w:hAnsi="Times New Roman" w:cs="Times New Roman" w:hint="eastAsia"/>
          <w:kern w:val="0"/>
          <w:sz w:val="30"/>
          <w:szCs w:val="30"/>
        </w:rPr>
      </w:pPr>
      <w:r>
        <w:rPr>
          <w:rFonts w:ascii="仿宋_GB2312" w:eastAsia="仿宋_GB2312" w:hAnsi="Times New Roman" w:cs="Times New Roman" w:hint="eastAsia"/>
          <w:kern w:val="0"/>
          <w:sz w:val="30"/>
          <w:szCs w:val="30"/>
        </w:rPr>
        <w:t>截至</w:t>
      </w:r>
      <w:r w:rsidR="00ED435E">
        <w:rPr>
          <w:rFonts w:ascii="仿宋_GB2312" w:eastAsia="仿宋_GB2312" w:hAnsi="Times New Roman" w:cs="Times New Roman" w:hint="eastAsia"/>
          <w:kern w:val="0"/>
          <w:sz w:val="30"/>
          <w:szCs w:val="30"/>
        </w:rPr>
        <w:t>2019</w:t>
      </w:r>
      <w:r>
        <w:rPr>
          <w:rFonts w:ascii="仿宋_GB2312" w:eastAsia="仿宋_GB2312" w:hAnsi="Times New Roman" w:cs="Times New Roman" w:hint="eastAsia"/>
          <w:kern w:val="0"/>
          <w:sz w:val="30"/>
          <w:szCs w:val="30"/>
        </w:rPr>
        <w:t>年12月31日，天津市人力资源和社会保障宣传教育科研中心无公务用车。单价50万元以上的通用设备0台（套），单价100万元以上的专用设备0台（套）。</w:t>
      </w:r>
    </w:p>
    <w:p w:rsidR="00C429D7" w:rsidRDefault="00C429D7" w:rsidP="00C429D7">
      <w:pPr>
        <w:spacing w:line="580" w:lineRule="exact"/>
        <w:ind w:firstLineChars="200" w:firstLine="600"/>
        <w:rPr>
          <w:rFonts w:ascii="仿宋_GB2312" w:eastAsia="仿宋_GB2312" w:hAnsi="仿宋_GB2312" w:cs="仿宋_GB2312" w:hint="eastAsia"/>
        </w:rPr>
      </w:pPr>
      <w:r>
        <w:rPr>
          <w:rFonts w:ascii="仿宋_GB2312" w:eastAsia="仿宋_GB2312" w:hAnsi="仿宋_GB2312" w:cs="仿宋_GB2312" w:hint="eastAsia"/>
          <w:b/>
          <w:bCs/>
          <w:color w:val="000000"/>
          <w:sz w:val="30"/>
          <w:szCs w:val="30"/>
        </w:rPr>
        <w:t>（四）预算绩效管理工作开展情况</w:t>
      </w:r>
    </w:p>
    <w:p w:rsidR="00C429D7" w:rsidRDefault="00C429D7" w:rsidP="00C429D7">
      <w:pPr>
        <w:adjustRightInd w:val="0"/>
        <w:spacing w:line="580" w:lineRule="exact"/>
        <w:ind w:firstLineChars="200" w:firstLine="600"/>
        <w:jc w:val="left"/>
        <w:textAlignment w:val="baseline"/>
        <w:rPr>
          <w:rFonts w:ascii="仿宋" w:eastAsia="仿宋" w:hAnsi="仿宋"/>
          <w:sz w:val="32"/>
          <w:szCs w:val="32"/>
        </w:rPr>
      </w:pPr>
      <w:r>
        <w:rPr>
          <w:rFonts w:ascii="仿宋_GB2312" w:eastAsia="仿宋_GB2312" w:hAnsi="Times New Roman" w:cs="Times New Roman" w:hint="eastAsia"/>
          <w:kern w:val="0"/>
          <w:sz w:val="30"/>
          <w:szCs w:val="30"/>
        </w:rPr>
        <w:lastRenderedPageBreak/>
        <w:t>天津市人力资源和社会保障宣传教育科研中心2019年度</w:t>
      </w:r>
      <w:proofErr w:type="gramStart"/>
      <w:r>
        <w:rPr>
          <w:rFonts w:ascii="仿宋_GB2312" w:eastAsia="仿宋_GB2312" w:hAnsi="Times New Roman" w:cs="Times New Roman" w:hint="eastAsia"/>
          <w:kern w:val="0"/>
          <w:sz w:val="30"/>
          <w:szCs w:val="30"/>
        </w:rPr>
        <w:t>无实行</w:t>
      </w:r>
      <w:proofErr w:type="gramEnd"/>
      <w:r>
        <w:rPr>
          <w:rFonts w:ascii="仿宋_GB2312" w:eastAsia="仿宋_GB2312" w:hAnsi="Times New Roman" w:cs="Times New Roman" w:hint="eastAsia"/>
          <w:kern w:val="0"/>
          <w:sz w:val="30"/>
          <w:szCs w:val="30"/>
        </w:rPr>
        <w:t>绩效目标管理的项目。</w:t>
      </w:r>
    </w:p>
    <w:p w:rsidR="00C429D7" w:rsidRDefault="00C429D7" w:rsidP="00C429D7">
      <w:pPr>
        <w:spacing w:line="580" w:lineRule="exact"/>
        <w:ind w:firstLineChars="200" w:firstLine="600"/>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（五）</w:t>
      </w:r>
      <w:r>
        <w:rPr>
          <w:rFonts w:ascii="仿宋_GB2312" w:eastAsia="仿宋_GB2312" w:hAnsi="仿宋_GB2312" w:cs="仿宋_GB2312"/>
          <w:b/>
          <w:bCs/>
          <w:color w:val="000000"/>
          <w:sz w:val="30"/>
          <w:szCs w:val="30"/>
        </w:rPr>
        <w:t>教育、医疗卫生、社会保障和就业、住房保障、涉农补贴等民生支出情况</w:t>
      </w:r>
    </w:p>
    <w:p w:rsidR="00A50C87" w:rsidRDefault="00DB71A8">
      <w:pPr>
        <w:adjustRightInd w:val="0"/>
        <w:spacing w:line="580" w:lineRule="exact"/>
        <w:ind w:firstLineChars="200" w:firstLine="600"/>
        <w:jc w:val="left"/>
        <w:textAlignment w:val="baseline"/>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天津市人力资源和社会保障宣传教育科研中心</w:t>
      </w:r>
      <w:r w:rsidR="00ED435E">
        <w:rPr>
          <w:rFonts w:ascii="仿宋_GB2312" w:eastAsia="仿宋_GB2312" w:hAnsi="Times New Roman" w:cs="Times New Roman" w:hint="eastAsia"/>
          <w:kern w:val="0"/>
          <w:sz w:val="30"/>
          <w:szCs w:val="30"/>
        </w:rPr>
        <w:t>2019</w:t>
      </w:r>
      <w:r>
        <w:rPr>
          <w:rFonts w:ascii="仿宋_GB2312" w:eastAsia="仿宋_GB2312" w:hAnsi="Times New Roman" w:cs="Times New Roman" w:hint="eastAsia"/>
          <w:kern w:val="0"/>
          <w:sz w:val="30"/>
          <w:szCs w:val="30"/>
        </w:rPr>
        <w:t>年度无教育、医疗卫生、社会保障和就业、住房保障、涉农补贴等民生支出情况。</w:t>
      </w:r>
    </w:p>
    <w:p w:rsidR="00C429D7" w:rsidRDefault="00C429D7" w:rsidP="00C429D7">
      <w:pPr>
        <w:spacing w:line="580" w:lineRule="exact"/>
        <w:ind w:firstLine="600"/>
        <w:rPr>
          <w:rFonts w:ascii="仿宋_GB2312" w:eastAsia="仿宋_GB2312" w:hAnsi="仿宋_GB2312" w:cs="仿宋_GB2312" w:hint="eastAsia"/>
          <w:b/>
          <w:bCs/>
          <w:color w:val="000000"/>
          <w:sz w:val="30"/>
          <w:szCs w:val="30"/>
        </w:rPr>
      </w:pPr>
      <w:r>
        <w:rPr>
          <w:rFonts w:ascii="仿宋_GB2312" w:eastAsia="仿宋_GB2312" w:hAnsi="仿宋_GB2312" w:cs="仿宋_GB2312" w:hint="eastAsia"/>
          <w:b/>
          <w:bCs/>
          <w:color w:val="000000"/>
          <w:sz w:val="30"/>
          <w:szCs w:val="30"/>
        </w:rPr>
        <w:t>（六）专业</w:t>
      </w:r>
      <w:proofErr w:type="gramStart"/>
      <w:r>
        <w:rPr>
          <w:rFonts w:ascii="仿宋_GB2312" w:eastAsia="仿宋_GB2312" w:hAnsi="仿宋_GB2312" w:cs="仿宋_GB2312" w:hint="eastAsia"/>
          <w:b/>
          <w:bCs/>
          <w:color w:val="000000"/>
          <w:sz w:val="30"/>
          <w:szCs w:val="30"/>
        </w:rPr>
        <w:t>性名</w:t>
      </w:r>
      <w:proofErr w:type="gramEnd"/>
      <w:r>
        <w:rPr>
          <w:rFonts w:ascii="仿宋_GB2312" w:eastAsia="仿宋_GB2312" w:hAnsi="仿宋_GB2312" w:cs="仿宋_GB2312" w:hint="eastAsia"/>
          <w:b/>
          <w:bCs/>
          <w:color w:val="000000"/>
          <w:sz w:val="30"/>
          <w:szCs w:val="30"/>
        </w:rPr>
        <w:t>词解释</w:t>
      </w:r>
    </w:p>
    <w:p w:rsidR="00A50C87" w:rsidRDefault="00DB71A8">
      <w:pPr>
        <w:adjustRightInd w:val="0"/>
        <w:spacing w:line="580" w:lineRule="exact"/>
        <w:ind w:firstLineChars="200" w:firstLine="600"/>
        <w:jc w:val="left"/>
        <w:textAlignment w:val="baseline"/>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部门决算：是指行政事业单位在年度终了，根据财政部门决算编审要求，在</w:t>
      </w:r>
      <w:proofErr w:type="gramStart"/>
      <w:r>
        <w:rPr>
          <w:rFonts w:ascii="仿宋_GB2312" w:eastAsia="仿宋_GB2312" w:hAnsi="Times New Roman" w:cs="Times New Roman" w:hint="eastAsia"/>
          <w:kern w:val="0"/>
          <w:sz w:val="30"/>
          <w:szCs w:val="30"/>
        </w:rPr>
        <w:t>日常会</w:t>
      </w:r>
      <w:proofErr w:type="gramEnd"/>
      <w:r>
        <w:rPr>
          <w:rFonts w:ascii="仿宋_GB2312" w:eastAsia="仿宋_GB2312" w:hAnsi="Times New Roman" w:cs="Times New Roman" w:hint="eastAsia"/>
          <w:kern w:val="0"/>
          <w:sz w:val="30"/>
          <w:szCs w:val="30"/>
        </w:rPr>
        <w:t>记核算的基础上编制的、综合反映本单位预算执行结果和财务状况的总结性文件。</w:t>
      </w:r>
    </w:p>
    <w:p w:rsidR="00A50C87" w:rsidRDefault="00A50C87">
      <w:pPr>
        <w:snapToGrid w:val="0"/>
        <w:spacing w:line="600" w:lineRule="exact"/>
        <w:ind w:firstLineChars="200" w:firstLine="640"/>
        <w:rPr>
          <w:rFonts w:ascii="仿宋" w:eastAsia="仿宋" w:hAnsi="仿宋"/>
          <w:sz w:val="32"/>
          <w:szCs w:val="32"/>
        </w:rPr>
      </w:pPr>
    </w:p>
    <w:p w:rsidR="00A50C87" w:rsidRDefault="00A50C87">
      <w:pPr>
        <w:snapToGrid w:val="0"/>
        <w:spacing w:line="600" w:lineRule="exact"/>
        <w:ind w:firstLineChars="200" w:firstLine="640"/>
        <w:rPr>
          <w:rFonts w:ascii="仿宋" w:eastAsia="仿宋" w:hAnsi="仿宋"/>
          <w:sz w:val="32"/>
          <w:szCs w:val="32"/>
        </w:rPr>
      </w:pPr>
    </w:p>
    <w:p w:rsidR="00A50C87" w:rsidRPr="00C429D7" w:rsidRDefault="00A50C87">
      <w:pPr>
        <w:snapToGrid w:val="0"/>
        <w:spacing w:line="600" w:lineRule="exact"/>
        <w:ind w:firstLineChars="200" w:firstLine="640"/>
        <w:rPr>
          <w:rFonts w:ascii="仿宋" w:eastAsia="仿宋" w:hAnsi="仿宋"/>
          <w:sz w:val="32"/>
          <w:szCs w:val="32"/>
        </w:rPr>
      </w:pPr>
    </w:p>
    <w:p w:rsidR="00A50C87" w:rsidRDefault="00A50C87">
      <w:pPr>
        <w:snapToGrid w:val="0"/>
        <w:spacing w:line="600" w:lineRule="exact"/>
        <w:ind w:firstLineChars="200" w:firstLine="640"/>
        <w:rPr>
          <w:rFonts w:ascii="仿宋" w:eastAsia="仿宋" w:hAnsi="仿宋"/>
          <w:sz w:val="32"/>
          <w:szCs w:val="32"/>
        </w:rPr>
      </w:pPr>
    </w:p>
    <w:p w:rsidR="00A50C87" w:rsidRDefault="00A50C87">
      <w:pPr>
        <w:snapToGrid w:val="0"/>
        <w:spacing w:line="600" w:lineRule="exact"/>
        <w:ind w:firstLineChars="200" w:firstLine="640"/>
        <w:rPr>
          <w:rFonts w:ascii="仿宋" w:eastAsia="仿宋" w:hAnsi="仿宋"/>
          <w:sz w:val="32"/>
          <w:szCs w:val="32"/>
        </w:rPr>
      </w:pPr>
    </w:p>
    <w:p w:rsidR="00A50C87" w:rsidRDefault="00A50C87">
      <w:pPr>
        <w:snapToGrid w:val="0"/>
        <w:spacing w:line="600" w:lineRule="exact"/>
        <w:ind w:firstLineChars="200" w:firstLine="640"/>
        <w:rPr>
          <w:rFonts w:ascii="仿宋" w:eastAsia="仿宋" w:hAnsi="仿宋"/>
          <w:sz w:val="32"/>
          <w:szCs w:val="32"/>
        </w:rPr>
      </w:pPr>
    </w:p>
    <w:p w:rsidR="00A50C87" w:rsidRDefault="00DB71A8">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1135F0">
        <w:rPr>
          <w:rFonts w:ascii="仿宋" w:eastAsia="仿宋" w:hAnsi="仿宋" w:hint="eastAsia"/>
          <w:sz w:val="32"/>
          <w:szCs w:val="32"/>
        </w:rPr>
        <w:t>2020</w:t>
      </w:r>
      <w:r>
        <w:rPr>
          <w:rFonts w:ascii="仿宋" w:eastAsia="仿宋" w:hAnsi="仿宋" w:hint="eastAsia"/>
          <w:sz w:val="32"/>
          <w:szCs w:val="32"/>
        </w:rPr>
        <w:t>年</w:t>
      </w:r>
      <w:r w:rsidR="001135F0">
        <w:rPr>
          <w:rFonts w:ascii="仿宋" w:eastAsia="仿宋" w:hAnsi="仿宋" w:hint="eastAsia"/>
          <w:sz w:val="32"/>
          <w:szCs w:val="32"/>
        </w:rPr>
        <w:t>9</w:t>
      </w:r>
      <w:r>
        <w:rPr>
          <w:rFonts w:ascii="仿宋" w:eastAsia="仿宋" w:hAnsi="仿宋" w:hint="eastAsia"/>
          <w:sz w:val="32"/>
          <w:szCs w:val="32"/>
        </w:rPr>
        <w:t>月</w:t>
      </w:r>
      <w:r w:rsidR="001135F0">
        <w:rPr>
          <w:rFonts w:ascii="仿宋" w:eastAsia="仿宋" w:hAnsi="仿宋" w:hint="eastAsia"/>
          <w:sz w:val="32"/>
          <w:szCs w:val="32"/>
        </w:rPr>
        <w:t>11</w:t>
      </w:r>
      <w:r>
        <w:rPr>
          <w:rFonts w:ascii="仿宋" w:eastAsia="仿宋" w:hAnsi="仿宋" w:hint="eastAsia"/>
          <w:sz w:val="32"/>
          <w:szCs w:val="32"/>
        </w:rPr>
        <w:t>日</w:t>
      </w:r>
    </w:p>
    <w:p w:rsidR="00A50C87" w:rsidRDefault="00A50C87">
      <w:pPr>
        <w:snapToGrid w:val="0"/>
        <w:spacing w:line="600" w:lineRule="exact"/>
        <w:ind w:firstLineChars="200" w:firstLine="640"/>
        <w:rPr>
          <w:rFonts w:ascii="Times New Roman" w:eastAsia="仿宋_GB2312" w:hAnsi="Times New Roman" w:cs="Times New Roman"/>
          <w:sz w:val="32"/>
          <w:szCs w:val="32"/>
        </w:rPr>
      </w:pPr>
    </w:p>
    <w:p w:rsidR="00A50C87" w:rsidRDefault="00A50C87"/>
    <w:p w:rsidR="00A50C87" w:rsidRDefault="00A50C87"/>
    <w:sectPr w:rsidR="00A50C87" w:rsidSect="00A50C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2B" w:rsidRDefault="0093492B" w:rsidP="00A50C87">
      <w:r>
        <w:separator/>
      </w:r>
    </w:p>
  </w:endnote>
  <w:endnote w:type="continuationSeparator" w:id="0">
    <w:p w:rsidR="0093492B" w:rsidRDefault="0093492B" w:rsidP="00A50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87" w:rsidRDefault="001B55C0">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50C87" w:rsidRDefault="001B55C0">
                <w:pPr>
                  <w:pStyle w:val="a3"/>
                </w:pPr>
                <w:r>
                  <w:rPr>
                    <w:rFonts w:hint="eastAsia"/>
                  </w:rPr>
                  <w:fldChar w:fldCharType="begin"/>
                </w:r>
                <w:r w:rsidR="00DB71A8">
                  <w:rPr>
                    <w:rFonts w:hint="eastAsia"/>
                  </w:rPr>
                  <w:instrText xml:space="preserve"> PAGE  \* MERGEFORMAT </w:instrText>
                </w:r>
                <w:r>
                  <w:rPr>
                    <w:rFonts w:hint="eastAsia"/>
                  </w:rPr>
                  <w:fldChar w:fldCharType="separate"/>
                </w:r>
                <w:r w:rsidR="00C429D7">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2B" w:rsidRDefault="0093492B" w:rsidP="00A50C87">
      <w:r>
        <w:separator/>
      </w:r>
    </w:p>
  </w:footnote>
  <w:footnote w:type="continuationSeparator" w:id="0">
    <w:p w:rsidR="0093492B" w:rsidRDefault="0093492B" w:rsidP="00A50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85A5F"/>
    <w:multiLevelType w:val="singleLevel"/>
    <w:tmpl w:val="5EF85A5F"/>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11905C6"/>
    <w:rsid w:val="001135F0"/>
    <w:rsid w:val="001B55C0"/>
    <w:rsid w:val="00291AAA"/>
    <w:rsid w:val="003C30BA"/>
    <w:rsid w:val="00434531"/>
    <w:rsid w:val="004B6797"/>
    <w:rsid w:val="004E742C"/>
    <w:rsid w:val="00504F2D"/>
    <w:rsid w:val="005466E2"/>
    <w:rsid w:val="005D63AD"/>
    <w:rsid w:val="0070314C"/>
    <w:rsid w:val="0093492B"/>
    <w:rsid w:val="00984CFA"/>
    <w:rsid w:val="00A50C87"/>
    <w:rsid w:val="00AB18F5"/>
    <w:rsid w:val="00C429D7"/>
    <w:rsid w:val="00D633A7"/>
    <w:rsid w:val="00DB71A8"/>
    <w:rsid w:val="00DC1421"/>
    <w:rsid w:val="00ED435E"/>
    <w:rsid w:val="00ED519D"/>
    <w:rsid w:val="00F1549C"/>
    <w:rsid w:val="034D3164"/>
    <w:rsid w:val="04092995"/>
    <w:rsid w:val="05E12B37"/>
    <w:rsid w:val="061562A9"/>
    <w:rsid w:val="06C91F01"/>
    <w:rsid w:val="0B51649F"/>
    <w:rsid w:val="0E73543D"/>
    <w:rsid w:val="0F3714D6"/>
    <w:rsid w:val="0F4C34B7"/>
    <w:rsid w:val="12A01935"/>
    <w:rsid w:val="1BB909E2"/>
    <w:rsid w:val="30E66A7D"/>
    <w:rsid w:val="311905C6"/>
    <w:rsid w:val="3F201FDD"/>
    <w:rsid w:val="48A03C9B"/>
    <w:rsid w:val="49453A9C"/>
    <w:rsid w:val="4FC31010"/>
    <w:rsid w:val="59152B18"/>
    <w:rsid w:val="5D3E38D1"/>
    <w:rsid w:val="5D59494E"/>
    <w:rsid w:val="62A36480"/>
    <w:rsid w:val="76007032"/>
    <w:rsid w:val="7BCD62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C8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50C87"/>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50C87"/>
    <w:pPr>
      <w:tabs>
        <w:tab w:val="center" w:pos="4153"/>
        <w:tab w:val="right" w:pos="8306"/>
      </w:tabs>
      <w:snapToGrid w:val="0"/>
      <w:jc w:val="left"/>
    </w:pPr>
    <w:rPr>
      <w:sz w:val="18"/>
    </w:rPr>
  </w:style>
  <w:style w:type="paragraph" w:styleId="a4">
    <w:name w:val="header"/>
    <w:basedOn w:val="a"/>
    <w:link w:val="Char"/>
    <w:rsid w:val="00ED4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435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509</Words>
  <Characters>2904</Characters>
  <Application>Microsoft Office Word</Application>
  <DocSecurity>0</DocSecurity>
  <Lines>24</Lines>
  <Paragraphs>6</Paragraphs>
  <ScaleCrop>false</ScaleCrop>
  <Company>Microsoft</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沉尘</dc:creator>
  <cp:lastModifiedBy>AutoBVT</cp:lastModifiedBy>
  <cp:revision>14</cp:revision>
  <cp:lastPrinted>2020-09-11T02:13:00Z</cp:lastPrinted>
  <dcterms:created xsi:type="dcterms:W3CDTF">2019-08-13T07:18:00Z</dcterms:created>
  <dcterms:modified xsi:type="dcterms:W3CDTF">2020-09-11T03:07:00Z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