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440" w:lineRule="exact"/>
        <w:rPr>
          <w:rFonts w:hAnsi="宋体"/>
          <w:b/>
          <w:bCs/>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市人社局关于选派我市高层次人才赴清华</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大学做2024年国内访问学者的通知</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sz w:val="36"/>
          <w:szCs w:val="36"/>
          <w:highlight w:val="none"/>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各区人力资源和社会保障局，各</w:t>
      </w:r>
      <w:r>
        <w:rPr>
          <w:rFonts w:hint="default" w:ascii="Times New Roman" w:hAnsi="Times New Roman" w:eastAsia="仿宋_GB2312" w:cs="Times New Roman"/>
          <w:sz w:val="32"/>
          <w:szCs w:val="32"/>
          <w:highlight w:val="none"/>
          <w:lang w:eastAsia="zh-CN"/>
        </w:rPr>
        <w:t>部</w:t>
      </w:r>
      <w:r>
        <w:rPr>
          <w:rFonts w:hint="default" w:ascii="Times New Roman" w:hAnsi="Times New Roman" w:eastAsia="仿宋_GB2312" w:cs="Times New Roman"/>
          <w:sz w:val="32"/>
          <w:szCs w:val="32"/>
          <w:highlight w:val="none"/>
        </w:rPr>
        <w:t>委办局人</w:t>
      </w:r>
      <w:r>
        <w:rPr>
          <w:rFonts w:hint="default" w:ascii="Times New Roman" w:hAnsi="Times New Roman" w:eastAsia="仿宋_GB2312" w:cs="Times New Roman"/>
          <w:sz w:val="32"/>
          <w:szCs w:val="32"/>
          <w:highlight w:val="none"/>
          <w:lang w:eastAsia="zh-CN"/>
        </w:rPr>
        <w:t>力资源</w:t>
      </w:r>
      <w:r>
        <w:rPr>
          <w:rFonts w:hint="default" w:ascii="Times New Roman" w:hAnsi="Times New Roman" w:eastAsia="仿宋_GB2312" w:cs="Times New Roman"/>
          <w:sz w:val="32"/>
          <w:szCs w:val="32"/>
          <w:highlight w:val="none"/>
        </w:rPr>
        <w:t>部门，</w:t>
      </w:r>
      <w:r>
        <w:rPr>
          <w:rFonts w:hint="default" w:ascii="Times New Roman" w:hAnsi="Times New Roman" w:eastAsia="仿宋_GB2312" w:cs="Times New Roman"/>
          <w:sz w:val="32"/>
          <w:szCs w:val="32"/>
          <w:highlight w:val="none"/>
          <w:lang w:eastAsia="zh-CN"/>
        </w:rPr>
        <w:t>天开高教科创园，各全国重点实验室、海河实验室，</w:t>
      </w:r>
      <w:r>
        <w:rPr>
          <w:rFonts w:hint="default" w:ascii="Times New Roman" w:hAnsi="Times New Roman" w:eastAsia="仿宋_GB2312" w:cs="Times New Roman"/>
          <w:sz w:val="32"/>
          <w:szCs w:val="32"/>
          <w:highlight w:val="none"/>
        </w:rPr>
        <w:t>有关单位：</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eastAsia="zh-CN"/>
        </w:rPr>
        <w:t>贯彻</w:t>
      </w:r>
      <w:r>
        <w:rPr>
          <w:rFonts w:hint="eastAsia" w:ascii="仿宋_GB2312" w:hAnsi="仿宋_GB2312" w:eastAsia="仿宋_GB2312" w:cs="仿宋_GB2312"/>
          <w:sz w:val="32"/>
          <w:szCs w:val="32"/>
          <w:highlight w:val="none"/>
          <w:lang w:val="en-US" w:eastAsia="zh-CN"/>
        </w:rPr>
        <w:t>落实习近平总书记视察天津重要讲话精神和“四个善作善成”的重要要求，进一步提升</w:t>
      </w:r>
      <w:r>
        <w:rPr>
          <w:rFonts w:hint="eastAsia" w:ascii="仿宋_GB2312" w:hAnsi="仿宋_GB2312" w:eastAsia="仿宋_GB2312" w:cs="仿宋_GB2312"/>
          <w:sz w:val="32"/>
          <w:szCs w:val="32"/>
          <w:highlight w:val="none"/>
          <w:lang w:eastAsia="zh-CN"/>
        </w:rPr>
        <w:t>国家战略</w:t>
      </w:r>
      <w:r>
        <w:rPr>
          <w:rFonts w:hint="eastAsia" w:ascii="仿宋_GB2312" w:hAnsi="仿宋_GB2312" w:eastAsia="仿宋_GB2312" w:cs="仿宋_GB2312"/>
          <w:sz w:val="32"/>
          <w:szCs w:val="32"/>
          <w:highlight w:val="none"/>
        </w:rPr>
        <w:t>人才</w:t>
      </w:r>
      <w:r>
        <w:rPr>
          <w:rFonts w:hint="eastAsia" w:ascii="仿宋_GB2312" w:hAnsi="仿宋_GB2312" w:eastAsia="仿宋_GB2312" w:cs="仿宋_GB2312"/>
          <w:sz w:val="32"/>
          <w:szCs w:val="32"/>
          <w:highlight w:val="none"/>
          <w:lang w:eastAsia="zh-CN"/>
        </w:rPr>
        <w:t>自主培养水平</w:t>
      </w:r>
      <w:r>
        <w:rPr>
          <w:rFonts w:hint="eastAsia" w:ascii="仿宋_GB2312" w:hAnsi="仿宋_GB2312" w:eastAsia="仿宋_GB2312" w:cs="仿宋_GB2312"/>
          <w:sz w:val="32"/>
          <w:szCs w:val="32"/>
          <w:highlight w:val="none"/>
          <w:lang w:val="en-US" w:eastAsia="zh-CN"/>
        </w:rPr>
        <w:t>，有效发挥人才对推进高质量发展“十项行动”的支</w:t>
      </w:r>
      <w:r>
        <w:rPr>
          <w:rFonts w:hint="default" w:ascii="Times New Roman" w:hAnsi="Times New Roman" w:eastAsia="仿宋_GB2312" w:cs="Times New Roman"/>
          <w:sz w:val="32"/>
          <w:szCs w:val="32"/>
          <w:highlight w:val="none"/>
          <w:lang w:val="en-US" w:eastAsia="zh-CN"/>
        </w:rPr>
        <w:t>撑作用，</w:t>
      </w:r>
      <w:r>
        <w:rPr>
          <w:rFonts w:hint="default" w:ascii="Times New Roman" w:hAnsi="Times New Roman" w:eastAsia="仿宋_GB2312" w:cs="Times New Roman"/>
          <w:sz w:val="32"/>
          <w:szCs w:val="32"/>
          <w:highlight w:val="none"/>
        </w:rPr>
        <w:t>根据《天津市人民政府清华大学战略合作</w:t>
      </w:r>
      <w:r>
        <w:rPr>
          <w:rFonts w:hint="eastAsia" w:eastAsia="仿宋_GB2312" w:cs="Times New Roman"/>
          <w:sz w:val="32"/>
          <w:szCs w:val="32"/>
          <w:highlight w:val="none"/>
          <w:lang w:eastAsia="zh-CN"/>
        </w:rPr>
        <w:t>框架</w:t>
      </w:r>
      <w:r>
        <w:rPr>
          <w:rFonts w:hint="default" w:ascii="Times New Roman" w:hAnsi="Times New Roman" w:eastAsia="仿宋_GB2312" w:cs="Times New Roman"/>
          <w:sz w:val="32"/>
          <w:szCs w:val="32"/>
          <w:highlight w:val="none"/>
        </w:rPr>
        <w:t>协议》，</w:t>
      </w:r>
      <w:r>
        <w:rPr>
          <w:rFonts w:hint="default" w:eastAsia="仿宋_GB2312" w:cs="Times New Roman"/>
          <w:sz w:val="32"/>
          <w:szCs w:val="32"/>
          <w:highlight w:val="none"/>
          <w:lang w:val="en"/>
        </w:rPr>
        <w:t>2024</w:t>
      </w:r>
      <w:r>
        <w:rPr>
          <w:rFonts w:hint="default" w:ascii="Times New Roman" w:hAnsi="Times New Roman" w:eastAsia="仿宋_GB2312" w:cs="Times New Roman"/>
          <w:sz w:val="32"/>
          <w:szCs w:val="32"/>
          <w:highlight w:val="none"/>
        </w:rPr>
        <w:t>年将继续选派</w:t>
      </w:r>
      <w:r>
        <w:rPr>
          <w:rFonts w:hint="eastAsia" w:eastAsia="仿宋_GB2312" w:cs="Times New Roman"/>
          <w:sz w:val="32"/>
          <w:szCs w:val="32"/>
          <w:highlight w:val="none"/>
          <w:lang w:eastAsia="zh-CN"/>
        </w:rPr>
        <w:t>我市</w:t>
      </w:r>
      <w:r>
        <w:rPr>
          <w:rFonts w:hint="default" w:ascii="Times New Roman" w:hAnsi="Times New Roman" w:eastAsia="仿宋_GB2312" w:cs="Times New Roman"/>
          <w:sz w:val="32"/>
          <w:szCs w:val="32"/>
          <w:highlight w:val="none"/>
        </w:rPr>
        <w:t>高层次人才赴清华大学做国内访问学者（以下简称清华大学访问学者）。现就有关事项通知如下：</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rPr>
        <w:t>一、选派条件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highlight w:val="none"/>
        </w:rPr>
      </w:pPr>
      <w:r>
        <w:rPr>
          <w:rFonts w:hint="default" w:ascii="Times New Roman" w:hAnsi="Times New Roman" w:eastAsia="仿宋_GB2312" w:cs="Times New Roman"/>
          <w:sz w:val="32"/>
          <w:szCs w:val="32"/>
          <w:highlight w:val="none"/>
        </w:rPr>
        <w:t>天开高教科</w:t>
      </w:r>
      <w:r>
        <w:rPr>
          <w:rFonts w:hint="eastAsia" w:ascii="Times New Roman" w:hAnsi="Times New Roman" w:eastAsia="仿宋_GB2312" w:cs="仿宋_GB2312"/>
          <w:sz w:val="32"/>
          <w:szCs w:val="32"/>
          <w:highlight w:val="none"/>
        </w:rPr>
        <w:t>创园、全国重点实验室、海河实验室等重点创新载体，我市的制造业单项冠军企业、“专精特新”小巨人企业、科技领军企业、国际一流企业、十大产业人才创新创业联盟龙头企业、重点产业链“链主”企业等重点企业的高层次创新型人才；我市曾入选“131”创新型人才培养工程人选、“131”创新型</w:t>
      </w:r>
      <w:r>
        <w:rPr>
          <w:rFonts w:hint="eastAsia" w:eastAsia="仿宋_GB2312" w:cs="仿宋_GB2312"/>
          <w:sz w:val="32"/>
          <w:szCs w:val="32"/>
          <w:highlight w:val="none"/>
          <w:lang w:val="en-US" w:eastAsia="zh-CN"/>
        </w:rPr>
        <w:t>人</w:t>
      </w:r>
      <w:r>
        <w:rPr>
          <w:rFonts w:hint="eastAsia" w:ascii="Times New Roman" w:hAnsi="Times New Roman" w:eastAsia="仿宋_GB2312" w:cs="仿宋_GB2312"/>
          <w:sz w:val="32"/>
          <w:szCs w:val="32"/>
          <w:highlight w:val="none"/>
        </w:rPr>
        <w:t>才团队和“项目+团队”的带头人及核心成员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符合以下条件</w:t>
      </w:r>
      <w:r>
        <w:rPr>
          <w:rFonts w:hint="eastAsia" w:ascii="Times New Roman" w:hAnsi="Times New Roman" w:eastAsia="仿宋_GB2312" w:cs="仿宋_GB2312"/>
          <w:sz w:val="32"/>
          <w:szCs w:val="32"/>
          <w:highlight w:val="none"/>
          <w:lang w:eastAsia="zh-CN"/>
        </w:rPr>
        <w:t>的，作为推荐选派对象</w:t>
      </w:r>
      <w:r>
        <w:rPr>
          <w:rFonts w:hint="eastAsia" w:ascii="Times New Roman" w:hAnsi="Times New Roman" w:eastAsia="仿宋_GB2312" w:cs="仿宋_GB2312"/>
          <w:sz w:val="32"/>
          <w:szCs w:val="32"/>
          <w:highlight w:val="none"/>
        </w:rPr>
        <w:t>。</w:t>
      </w:r>
      <w:bookmarkStart w:id="0" w:name="_GoBack"/>
      <w:bookmarkEnd w:id="0"/>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）政治思想素质好，有强烈的事业心和良好的职业道德；基础理论和专业知识扎</w:t>
      </w:r>
      <w:r>
        <w:rPr>
          <w:rFonts w:hint="default" w:ascii="Times New Roman" w:hAnsi="Times New Roman" w:eastAsia="仿宋_GB2312" w:cs="Times New Roman"/>
          <w:sz w:val="32"/>
          <w:szCs w:val="32"/>
          <w:highlight w:val="none"/>
        </w:rPr>
        <w:t>实、教学及学术研究能力较强。</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身体健康年龄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不超过 48 周岁，且具有本科以上学历、副高级以上职称，或硕士以上学位、中级以上职称。</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所申请的专业方向与所学专业以及目前所从事的工作方向应基本一致，本人在所申请专业方向有代表性的成果，有明确的访学目标，具备按要求完成访学任务的能力。</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rPr>
        <w:t>二、</w:t>
      </w:r>
      <w:r>
        <w:rPr>
          <w:rFonts w:hint="eastAsia" w:ascii="Times New Roman" w:hAnsi="Times New Roman" w:eastAsia="黑体" w:cs="黑体"/>
          <w:b w:val="0"/>
          <w:bCs/>
          <w:sz w:val="32"/>
          <w:szCs w:val="32"/>
          <w:highlight w:val="none"/>
          <w:lang w:eastAsia="zh-CN"/>
        </w:rPr>
        <w:t>选派</w:t>
      </w:r>
      <w:r>
        <w:rPr>
          <w:rFonts w:hint="eastAsia" w:ascii="Times New Roman" w:hAnsi="Times New Roman" w:eastAsia="黑体" w:cs="黑体"/>
          <w:b w:val="0"/>
          <w:bCs/>
          <w:sz w:val="32"/>
          <w:szCs w:val="32"/>
          <w:highlight w:val="none"/>
        </w:rPr>
        <w:t>要求</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（一）清华大学访问学者以参加清华大学学术科研工作为主，工作期限通常为一学年（全脱产，不再承担原单位的工作）。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（二）清华大学访问学者每学期至少应提交一篇学术论文或研究报告，并在课题组作一次学术报告，汇报工作成果；访问工作结束后，应</w:t>
      </w:r>
      <w:r>
        <w:rPr>
          <w:rFonts w:hint="eastAsia" w:ascii="Times New Roman" w:hAnsi="Times New Roman" w:eastAsia="仿宋_GB2312" w:cs="Times New Roman"/>
          <w:sz w:val="32"/>
          <w:szCs w:val="32"/>
          <w:highlight w:val="none"/>
          <w:lang w:eastAsia="zh-CN"/>
        </w:rPr>
        <w:t>提交</w:t>
      </w:r>
      <w:r>
        <w:rPr>
          <w:rFonts w:hint="default" w:ascii="Times New Roman" w:hAnsi="Times New Roman" w:eastAsia="仿宋_GB2312" w:cs="Times New Roman"/>
          <w:sz w:val="32"/>
          <w:szCs w:val="32"/>
          <w:highlight w:val="none"/>
        </w:rPr>
        <w:t>包括科研、教学工作及成绩等方面的个人全年总结，填写《国内访问学者工作成绩考核表》；按期完成科研工作，结业考核合格者，由清华大学颁发《国内访问学者证书》，可</w:t>
      </w:r>
      <w:r>
        <w:rPr>
          <w:rFonts w:hint="eastAsia" w:ascii="仿宋_GB2312" w:hAnsi="仿宋_GB2312" w:eastAsia="仿宋_GB2312" w:cs="仿宋_GB2312"/>
          <w:sz w:val="32"/>
          <w:szCs w:val="32"/>
          <w:highlight w:val="none"/>
        </w:rPr>
        <w:t>在“清华大学继续教育综合信息管理系统”网站上查询</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spacing w:line="600" w:lineRule="exact"/>
        <w:ind w:firstLine="633" w:firstLineChars="198"/>
        <w:jc w:val="both"/>
        <w:textAlignment w:val="auto"/>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rPr>
        <w:t>三、费用标准</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文理类20000元/学年，艺术类23000元/学年。所有访问学者</w:t>
      </w:r>
      <w:r>
        <w:rPr>
          <w:rFonts w:hint="eastAsia" w:ascii="Times New Roman" w:hAnsi="Times New Roman" w:eastAsia="仿宋_GB2312" w:cs="Times New Roman"/>
          <w:sz w:val="32"/>
          <w:szCs w:val="32"/>
          <w:highlight w:val="none"/>
          <w:lang w:eastAsia="zh-CN"/>
        </w:rPr>
        <w:t>费用自理，并</w:t>
      </w:r>
      <w:r>
        <w:rPr>
          <w:rFonts w:hint="eastAsia" w:ascii="Times New Roman" w:hAnsi="Times New Roman" w:eastAsia="仿宋_GB2312" w:cs="仿宋_GB2312"/>
          <w:sz w:val="32"/>
          <w:szCs w:val="32"/>
          <w:highlight w:val="none"/>
        </w:rPr>
        <w:t>需自行安排住宿。</w:t>
      </w:r>
      <w:r>
        <w:rPr>
          <w:rFonts w:hint="eastAsia" w:ascii="Times New Roman" w:hAnsi="Times New Roman" w:eastAsia="仿宋_GB2312" w:cs="仿宋_GB2312"/>
          <w:sz w:val="32"/>
          <w:szCs w:val="32"/>
          <w:highlight w:val="none"/>
          <w:lang w:eastAsia="zh-CN"/>
        </w:rPr>
        <w:t>其中，</w:t>
      </w:r>
      <w:r>
        <w:rPr>
          <w:rFonts w:hint="eastAsia" w:ascii="Times New Roman" w:hAnsi="Times New Roman" w:eastAsia="仿宋_GB2312" w:cs="仿宋_GB2312"/>
          <w:sz w:val="32"/>
          <w:szCs w:val="32"/>
          <w:highlight w:val="none"/>
        </w:rPr>
        <w:t>天津市“项目+团队”重点培养专项入选团队带头人及成员、“131”创新型人才培养工程第一层次人选、“131”创新型人才团队带头人及成员在做访问学者期间所需的进修费、食宿费、差旅费</w:t>
      </w:r>
      <w:r>
        <w:rPr>
          <w:rFonts w:hint="default" w:ascii="Times New Roman" w:hAnsi="Times New Roman" w:eastAsia="仿宋_GB2312" w:cs="Times New Roman"/>
          <w:sz w:val="32"/>
          <w:szCs w:val="32"/>
          <w:highlight w:val="none"/>
        </w:rPr>
        <w:t>、交通费等相关费用，可从已划拨到各单位的人才（团队）培养（建设）资助经费中列支。</w:t>
      </w:r>
    </w:p>
    <w:p>
      <w:pPr>
        <w:keepNext w:val="0"/>
        <w:keepLines w:val="0"/>
        <w:pageBreakBefore w:val="0"/>
        <w:kinsoku/>
        <w:wordWrap/>
        <w:overflowPunct/>
        <w:topLinePunct w:val="0"/>
        <w:autoSpaceDE/>
        <w:autoSpaceDN/>
        <w:bidi w:val="0"/>
        <w:spacing w:line="600" w:lineRule="exact"/>
        <w:ind w:firstLine="633" w:firstLineChars="198"/>
        <w:jc w:val="both"/>
        <w:textAlignment w:val="auto"/>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rPr>
        <w:t>四、申报程序</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rPr>
        <w:t>（一）网上报名</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申请人应认真对照《2024年清华大学接受一般项目访问学者导师目录》（附件1），于5月20日（星期一）前登录报名网站：“清华大学继续教育综合信息管</w:t>
      </w:r>
      <w:r>
        <w:rPr>
          <w:rFonts w:hint="default" w:ascii="Times New Roman" w:hAnsi="Times New Roman" w:eastAsia="仿宋_GB2312" w:cs="Times New Roman"/>
          <w:w w:val="95"/>
          <w:sz w:val="32"/>
          <w:szCs w:val="32"/>
          <w:highlight w:val="none"/>
        </w:rPr>
        <w:t>理系统”http://thtm.tsinghua.edu.cn/cms/jxfx/index.htm（以</w:t>
      </w:r>
      <w:r>
        <w:rPr>
          <w:rFonts w:hint="default" w:ascii="Times New Roman" w:hAnsi="Times New Roman" w:eastAsia="仿宋_GB2312" w:cs="Times New Roman"/>
          <w:w w:val="90"/>
          <w:sz w:val="32"/>
          <w:szCs w:val="32"/>
          <w:highlight w:val="none"/>
        </w:rPr>
        <w:t>下简称</w:t>
      </w:r>
      <w:r>
        <w:rPr>
          <w:rFonts w:hint="default" w:ascii="Times New Roman" w:hAnsi="Times New Roman" w:eastAsia="仿宋_GB2312" w:cs="Times New Roman"/>
          <w:sz w:val="32"/>
          <w:szCs w:val="32"/>
          <w:highlight w:val="none"/>
        </w:rPr>
        <w:t>管理系统）进行报名注册，点击网站页面中的“报名”进入报名页面，选择学生类别为访问学者，填写基本信息，并上传本人近期所拍（六个月以内）蓝底小2寸电子版证件照。</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（二）信息</w:t>
      </w:r>
      <w:r>
        <w:rPr>
          <w:rFonts w:hint="eastAsia" w:ascii="Times New Roman" w:hAnsi="Times New Roman" w:eastAsia="楷体_GB2312" w:cs="楷体_GB2312"/>
          <w:sz w:val="32"/>
          <w:szCs w:val="32"/>
          <w:highlight w:val="none"/>
          <w:lang w:eastAsia="zh-CN"/>
        </w:rPr>
        <w:t>初审</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申请人在管理系统填报后，</w:t>
      </w:r>
      <w:r>
        <w:rPr>
          <w:rFonts w:hint="eastAsia" w:ascii="Times New Roman" w:hAnsi="Times New Roman" w:eastAsia="仿宋_GB2312" w:cs="Times New Roman"/>
          <w:sz w:val="32"/>
          <w:szCs w:val="32"/>
          <w:highlight w:val="none"/>
          <w:lang w:eastAsia="zh-CN"/>
        </w:rPr>
        <w:t>及时</w:t>
      </w:r>
      <w:r>
        <w:rPr>
          <w:rFonts w:hint="default" w:ascii="Times New Roman" w:hAnsi="Times New Roman" w:eastAsia="仿宋_GB2312" w:cs="Times New Roman"/>
          <w:sz w:val="32"/>
          <w:szCs w:val="32"/>
          <w:highlight w:val="none"/>
        </w:rPr>
        <w:t>将《申报清华大学访问学者信息表》（附件2）发送至天津市北方人才培训中心政务邮箱（rcpxb@tj.gov.cn）</w:t>
      </w:r>
      <w:r>
        <w:rPr>
          <w:rFonts w:hint="eastAsia" w:eastAsia="仿宋_GB2312" w:cs="Times New Roman"/>
          <w:sz w:val="32"/>
          <w:szCs w:val="32"/>
          <w:highlight w:val="none"/>
          <w:lang w:eastAsia="zh-CN"/>
        </w:rPr>
        <w:t>，市人社局将协同清华大学进行初审</w:t>
      </w:r>
      <w:r>
        <w:rPr>
          <w:rFonts w:hint="default" w:ascii="Times New Roman" w:hAnsi="Times New Roman" w:eastAsia="仿宋_GB2312" w:cs="Times New Roman"/>
          <w:sz w:val="32"/>
          <w:szCs w:val="32"/>
          <w:highlight w:val="none"/>
        </w:rPr>
        <w:t>。申请人未</w:t>
      </w:r>
      <w:r>
        <w:rPr>
          <w:rFonts w:hint="eastAsia" w:ascii="Times New Roman" w:hAnsi="Times New Roman" w:eastAsia="仿宋_GB2312" w:cs="Times New Roman"/>
          <w:sz w:val="32"/>
          <w:szCs w:val="32"/>
          <w:highlight w:val="none"/>
          <w:lang w:eastAsia="zh-CN"/>
        </w:rPr>
        <w:t>及时</w:t>
      </w:r>
      <w:r>
        <w:rPr>
          <w:rFonts w:hint="default" w:ascii="Times New Roman" w:hAnsi="Times New Roman" w:eastAsia="仿宋_GB2312" w:cs="Times New Roman"/>
          <w:sz w:val="32"/>
          <w:szCs w:val="32"/>
          <w:highlight w:val="none"/>
        </w:rPr>
        <w:t>发送《申报清华大学访问学者信息表》的，将会影响初审结果。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申请人可在提交申请7个工作日后登录管理系统查询初审结果。若已通过初审，即可进入下一申报环节。若未通过初审，请核查个人信息是否填写完整或是否符合国内访问学者申报条件。</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w:t>
      </w:r>
      <w:r>
        <w:rPr>
          <w:rFonts w:hint="eastAsia" w:ascii="Times New Roman" w:hAnsi="Times New Roman" w:eastAsia="楷体_GB2312" w:cs="楷体_GB2312"/>
          <w:sz w:val="32"/>
          <w:szCs w:val="32"/>
          <w:highlight w:val="none"/>
          <w:lang w:eastAsia="zh-CN"/>
        </w:rPr>
        <w:t>三</w:t>
      </w:r>
      <w:r>
        <w:rPr>
          <w:rFonts w:hint="eastAsia" w:ascii="Times New Roman" w:hAnsi="Times New Roman" w:eastAsia="楷体_GB2312" w:cs="楷体_GB2312"/>
          <w:sz w:val="32"/>
          <w:szCs w:val="32"/>
          <w:highlight w:val="none"/>
        </w:rPr>
        <w:t>）</w:t>
      </w:r>
      <w:r>
        <w:rPr>
          <w:rFonts w:hint="eastAsia" w:ascii="Times New Roman" w:hAnsi="Times New Roman" w:eastAsia="楷体_GB2312" w:cs="楷体_GB2312"/>
          <w:sz w:val="32"/>
          <w:szCs w:val="32"/>
          <w:highlight w:val="none"/>
          <w:lang w:eastAsia="zh-CN"/>
        </w:rPr>
        <w:t>报送</w:t>
      </w:r>
      <w:r>
        <w:rPr>
          <w:rFonts w:hint="eastAsia" w:ascii="Times New Roman" w:hAnsi="Times New Roman" w:eastAsia="楷体_GB2312" w:cs="楷体_GB2312"/>
          <w:sz w:val="32"/>
          <w:szCs w:val="32"/>
          <w:highlight w:val="none"/>
        </w:rPr>
        <w:t>纸质材料</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初审通过后，申请人登录管理系统导出个人申请表并</w:t>
      </w:r>
      <w:r>
        <w:rPr>
          <w:rFonts w:hint="eastAsia" w:ascii="Times New Roman" w:hAnsi="Times New Roman" w:eastAsia="仿宋_GB2312" w:cs="Times New Roman"/>
          <w:sz w:val="32"/>
          <w:szCs w:val="32"/>
          <w:highlight w:val="none"/>
          <w:lang w:eastAsia="zh-CN"/>
        </w:rPr>
        <w:t>打印（</w:t>
      </w:r>
      <w:r>
        <w:rPr>
          <w:rFonts w:hint="default" w:ascii="Times New Roman" w:hAnsi="Times New Roman" w:eastAsia="仿宋_GB2312" w:cs="Times New Roman"/>
          <w:sz w:val="32"/>
          <w:szCs w:val="32"/>
          <w:highlight w:val="none"/>
        </w:rPr>
        <w:t>A4纸</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，于5月2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日（星期</w:t>
      </w:r>
      <w:r>
        <w:rPr>
          <w:rFonts w:hint="eastAsia"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w:t>
      </w:r>
      <w:r>
        <w:rPr>
          <w:rFonts w:hint="default" w:eastAsia="仿宋_GB2312" w:cs="Times New Roman"/>
          <w:sz w:val="32"/>
          <w:szCs w:val="32"/>
          <w:highlight w:val="none"/>
          <w:lang w:val="en" w:eastAsia="zh-CN"/>
        </w:rPr>
        <w:t>17</w:t>
      </w:r>
      <w:r>
        <w:rPr>
          <w:rFonts w:hint="eastAsia" w:ascii="Times New Roman" w:hAnsi="Times New Roman" w:eastAsia="仿宋_GB2312" w:cs="Times New Roman"/>
          <w:sz w:val="32"/>
          <w:szCs w:val="32"/>
          <w:highlight w:val="none"/>
          <w:lang w:val="en-US" w:eastAsia="zh-CN"/>
        </w:rPr>
        <w:t>时</w:t>
      </w:r>
      <w:r>
        <w:rPr>
          <w:rFonts w:hint="default" w:ascii="Times New Roman" w:hAnsi="Times New Roman" w:eastAsia="仿宋_GB2312" w:cs="Times New Roman"/>
          <w:sz w:val="32"/>
          <w:szCs w:val="32"/>
          <w:highlight w:val="none"/>
        </w:rPr>
        <w:t>前</w:t>
      </w:r>
      <w:r>
        <w:rPr>
          <w:rFonts w:hint="eastAsia" w:ascii="Times New Roman" w:hAnsi="Times New Roman" w:eastAsia="仿宋_GB2312" w:cs="Times New Roman"/>
          <w:sz w:val="32"/>
          <w:szCs w:val="32"/>
          <w:highlight w:val="none"/>
          <w:lang w:eastAsia="zh-CN"/>
        </w:rPr>
        <w:t>，将全部纸质材料</w:t>
      </w:r>
      <w:r>
        <w:rPr>
          <w:rFonts w:hint="default" w:ascii="Times New Roman" w:hAnsi="Times New Roman" w:eastAsia="仿宋_GB2312" w:cs="Times New Roman"/>
          <w:sz w:val="32"/>
          <w:szCs w:val="32"/>
          <w:highlight w:val="none"/>
        </w:rPr>
        <w:t>报送至天津市北方人才培训中心（南开区保山道12号）。材料包括：</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rPr>
        <w:t>1．加盖申请人所在单位人事（人力资源）部门公章的清华大学接收国内访问学者申请表，一式2份</w:t>
      </w:r>
      <w:r>
        <w:rPr>
          <w:rFonts w:hint="eastAsia"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2．最高学历及学位证书复印件、专业技术职务资格证书（或同等效力文件）复印件、近期学术成果（限</w:t>
      </w:r>
      <w:r>
        <w:rPr>
          <w:rFonts w:hint="eastAsia" w:eastAsia="仿宋_GB2312" w:cs="Times New Roman"/>
          <w:sz w:val="32"/>
          <w:szCs w:val="32"/>
          <w:highlight w:val="none"/>
          <w:lang w:eastAsia="zh-CN"/>
        </w:rPr>
        <w:t>通过</w:t>
      </w:r>
      <w:r>
        <w:rPr>
          <w:rFonts w:hint="default" w:ascii="Times New Roman" w:hAnsi="Times New Roman" w:eastAsia="仿宋_GB2312" w:cs="Times New Roman"/>
          <w:sz w:val="32"/>
          <w:szCs w:val="32"/>
          <w:highlight w:val="none"/>
        </w:rPr>
        <w:t>5页</w:t>
      </w:r>
      <w:r>
        <w:rPr>
          <w:rFonts w:hint="eastAsia" w:eastAsia="仿宋_GB2312" w:cs="Times New Roman"/>
          <w:sz w:val="32"/>
          <w:szCs w:val="32"/>
          <w:highlight w:val="none"/>
          <w:lang w:eastAsia="zh-CN"/>
        </w:rPr>
        <w:t>内</w:t>
      </w:r>
      <w:r>
        <w:rPr>
          <w:rFonts w:hint="eastAsia" w:eastAsia="仿宋_GB2312" w:cs="Times New Roman"/>
          <w:sz w:val="32"/>
          <w:szCs w:val="32"/>
          <w:highlight w:val="none"/>
          <w:lang w:val="en-US" w:eastAsia="zh-CN"/>
        </w:rPr>
        <w:t>A4纸展示，供导师审查</w:t>
      </w:r>
      <w:r>
        <w:rPr>
          <w:rFonts w:hint="default" w:ascii="Times New Roman" w:hAnsi="Times New Roman" w:eastAsia="仿宋_GB2312" w:cs="Times New Roman"/>
          <w:sz w:val="32"/>
          <w:szCs w:val="32"/>
          <w:highlight w:val="none"/>
        </w:rPr>
        <w:t>），均一式1份。</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3．个人健康检查表（经县级或县级以上医院体检）或最近的个人健康体检报告（最早可至2024年1月1日），一式1份</w:t>
      </w:r>
      <w:r>
        <w:rPr>
          <w:rFonts w:hint="eastAsia" w:eastAsia="仿宋_GB2312" w:cs="Times New Roman"/>
          <w:sz w:val="32"/>
          <w:szCs w:val="32"/>
          <w:highlight w:val="none"/>
          <w:lang w:eastAsia="zh-CN"/>
        </w:rPr>
        <w:t>。</w:t>
      </w:r>
    </w:p>
    <w:p>
      <w:pPr>
        <w:pStyle w:val="7"/>
        <w:keepNext w:val="0"/>
        <w:keepLines w:val="0"/>
        <w:pageBreakBefore w:val="0"/>
        <w:kinsoku/>
        <w:wordWrap/>
        <w:overflowPunct/>
        <w:topLinePunct w:val="0"/>
        <w:autoSpaceDE/>
        <w:autoSpaceDN/>
        <w:bidi w:val="0"/>
        <w:spacing w:before="0" w:beforeAutospacing="0" w:after="0" w:afterAutospacing="0" w:line="600" w:lineRule="exact"/>
        <w:ind w:firstLine="42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rPr>
        <w:t>上述申报材料请勿装订，所有材料按照顺序依次放置。</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楷体_GB2312"/>
          <w:sz w:val="32"/>
          <w:szCs w:val="32"/>
          <w:highlight w:val="none"/>
        </w:rPr>
        <w:t>（</w:t>
      </w:r>
      <w:r>
        <w:rPr>
          <w:rFonts w:hint="eastAsia" w:ascii="Times New Roman" w:hAnsi="Times New Roman" w:eastAsia="楷体_GB2312" w:cs="楷体_GB2312"/>
          <w:sz w:val="32"/>
          <w:szCs w:val="32"/>
          <w:highlight w:val="none"/>
          <w:lang w:eastAsia="zh-CN"/>
        </w:rPr>
        <w:t>四</w:t>
      </w:r>
      <w:r>
        <w:rPr>
          <w:rFonts w:hint="eastAsia" w:ascii="Times New Roman" w:hAnsi="Times New Roman" w:eastAsia="楷体_GB2312" w:cs="楷体_GB2312"/>
          <w:sz w:val="32"/>
          <w:szCs w:val="32"/>
          <w:highlight w:val="none"/>
        </w:rPr>
        <w:t>）审核录取</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市人社局在初步审查材料的基础上，出具访问学者推荐名单，与相关材料一并寄送清华大学</w:t>
      </w:r>
      <w:r>
        <w:rPr>
          <w:rFonts w:hint="eastAsia" w:eastAsia="仿宋_GB2312" w:cs="Times New Roman"/>
          <w:sz w:val="32"/>
          <w:szCs w:val="32"/>
          <w:highlight w:val="none"/>
          <w:lang w:eastAsia="zh-CN"/>
        </w:rPr>
        <w:t>进行最终</w:t>
      </w:r>
      <w:r>
        <w:rPr>
          <w:rFonts w:hint="default" w:ascii="Times New Roman" w:hAnsi="Times New Roman" w:eastAsia="仿宋_GB2312" w:cs="Times New Roman"/>
          <w:sz w:val="32"/>
          <w:szCs w:val="32"/>
          <w:highlight w:val="none"/>
        </w:rPr>
        <w:t>审核</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清华大学</w:t>
      </w:r>
      <w:r>
        <w:rPr>
          <w:rFonts w:hint="eastAsia" w:ascii="Times New Roman" w:hAnsi="Times New Roman" w:eastAsia="仿宋_GB2312" w:cs="Times New Roman"/>
          <w:sz w:val="32"/>
          <w:szCs w:val="32"/>
          <w:highlight w:val="none"/>
          <w:lang w:eastAsia="zh-CN"/>
        </w:rPr>
        <w:t>具有最终录取权限</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清华大学</w:t>
      </w:r>
      <w:r>
        <w:rPr>
          <w:rFonts w:hint="default" w:ascii="Times New Roman" w:hAnsi="Times New Roman" w:eastAsia="仿宋_GB2312" w:cs="Times New Roman"/>
          <w:sz w:val="32"/>
          <w:szCs w:val="32"/>
          <w:highlight w:val="none"/>
        </w:rPr>
        <w:t>审核同意后，于6月底发布录取信息，申请人可在管理系统查询。被录取的申请人可于7月10日后登录管理系统打</w:t>
      </w:r>
      <w:r>
        <w:rPr>
          <w:rFonts w:hint="eastAsia" w:ascii="仿宋_GB2312" w:hAnsi="仿宋_GB2312" w:eastAsia="仿宋_GB2312" w:cs="仿宋_GB2312"/>
          <w:sz w:val="32"/>
          <w:szCs w:val="32"/>
          <w:highlight w:val="none"/>
        </w:rPr>
        <w:t>印“清华大学接收国内访问学者通知书”和</w:t>
      </w:r>
      <w:r>
        <w:rPr>
          <w:rFonts w:hint="default" w:ascii="Times New Roman" w:hAnsi="Times New Roman" w:eastAsia="仿宋_GB2312" w:cs="Times New Roman"/>
          <w:sz w:val="32"/>
          <w:szCs w:val="32"/>
          <w:highlight w:val="none"/>
        </w:rPr>
        <w:t>入校注意事项等资料（不再另行邮寄纸质资料），并按规定时间到校办理入学手续，逾期不报到者，按自动退学处理。</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未被录取的申请人将不再另行通知，申请材料</w:t>
      </w:r>
      <w:r>
        <w:rPr>
          <w:rFonts w:hint="eastAsia"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highlight w:val="none"/>
        </w:rPr>
        <w:t>不予退回。</w:t>
      </w:r>
    </w:p>
    <w:p>
      <w:pPr>
        <w:keepNext w:val="0"/>
        <w:keepLines w:val="0"/>
        <w:pageBreakBefore w:val="0"/>
        <w:kinsoku/>
        <w:wordWrap/>
        <w:overflowPunct/>
        <w:topLinePunct w:val="0"/>
        <w:autoSpaceDE/>
        <w:autoSpaceDN/>
        <w:bidi w:val="0"/>
        <w:spacing w:line="600" w:lineRule="exact"/>
        <w:ind w:firstLine="633" w:firstLineChars="198"/>
        <w:jc w:val="both"/>
        <w:textAlignment w:val="auto"/>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rPr>
        <w:t>五、有关事宜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（一）申请人要如实填写申报材料，</w:t>
      </w:r>
      <w:r>
        <w:rPr>
          <w:rFonts w:hint="eastAsia" w:ascii="Times New Roman" w:hAnsi="Times New Roman" w:eastAsia="仿宋_GB2312" w:cs="Times New Roman"/>
          <w:sz w:val="32"/>
          <w:szCs w:val="32"/>
          <w:highlight w:val="none"/>
          <w:lang w:eastAsia="zh-CN"/>
        </w:rPr>
        <w:t>用人</w:t>
      </w:r>
      <w:r>
        <w:rPr>
          <w:rFonts w:hint="default" w:ascii="Times New Roman" w:hAnsi="Times New Roman" w:eastAsia="仿宋_GB2312" w:cs="Times New Roman"/>
          <w:sz w:val="32"/>
          <w:szCs w:val="32"/>
          <w:highlight w:val="none"/>
        </w:rPr>
        <w:t>单位要认真核查人选相关证书、论文等材料真实性，并确保纸质版材料与电子版材料内容一致。凡在申报过程中作假舞弊者，无论何时发现，一律取消其申报访问学者的资格。</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（二）申请人要严格按照申报程序和时限要求进行申报，逾期不再受理，报名前请仔细阅读《清华大学国内访问学者管理实施办法》。在申请过程中如遇问题请与天津市北方人才培训中心联系。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 系 人：</w:t>
      </w:r>
      <w:r>
        <w:rPr>
          <w:rFonts w:hint="eastAsia" w:eastAsia="仿宋_GB2312" w:cs="Times New Roman"/>
          <w:sz w:val="32"/>
          <w:szCs w:val="32"/>
          <w:highlight w:val="none"/>
          <w:lang w:eastAsia="zh-CN"/>
        </w:rPr>
        <w:t>天津市</w:t>
      </w:r>
      <w:r>
        <w:rPr>
          <w:rFonts w:hint="default" w:ascii="Times New Roman" w:hAnsi="Times New Roman" w:eastAsia="仿宋_GB2312" w:cs="Times New Roman"/>
          <w:sz w:val="32"/>
          <w:szCs w:val="32"/>
          <w:highlight w:val="none"/>
        </w:rPr>
        <w:t>北方人才培训中心 张维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联系电话：022-28013597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邮寄地址：</w:t>
      </w:r>
      <w:r>
        <w:rPr>
          <w:rFonts w:hint="eastAsia" w:ascii="Times New Roman" w:hAnsi="Times New Roman" w:eastAsia="仿宋_GB2312" w:cs="Times New Roman"/>
          <w:sz w:val="32"/>
          <w:szCs w:val="32"/>
          <w:highlight w:val="none"/>
          <w:lang w:eastAsia="zh-CN"/>
        </w:rPr>
        <w:t>南开区</w:t>
      </w:r>
      <w:r>
        <w:rPr>
          <w:rFonts w:hint="default" w:ascii="Times New Roman" w:hAnsi="Times New Roman" w:eastAsia="仿宋_GB2312" w:cs="Times New Roman"/>
          <w:sz w:val="32"/>
          <w:szCs w:val="32"/>
          <w:highlight w:val="none"/>
        </w:rPr>
        <w:t>保山道12号B座二楼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z w:val="32"/>
          <w:szCs w:val="32"/>
          <w:highlight w:val="none"/>
        </w:rPr>
        <w:t>电子邮箱：</w:t>
      </w:r>
      <w:r>
        <w:rPr>
          <w:rStyle w:val="12"/>
          <w:rFonts w:hint="default" w:ascii="Times New Roman" w:hAnsi="Times New Roman" w:eastAsia="仿宋_GB2312" w:cs="Times New Roman"/>
          <w:color w:val="auto"/>
          <w:sz w:val="32"/>
          <w:szCs w:val="32"/>
          <w:highlight w:val="none"/>
          <w:u w:val="none"/>
        </w:rPr>
        <w:t>rcpxb@tj.gov.cn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rPr>
        <w:t>联 系 人：</w:t>
      </w:r>
      <w:r>
        <w:rPr>
          <w:rFonts w:hint="eastAsia" w:ascii="Times New Roman" w:hAnsi="Times New Roman" w:eastAsia="仿宋_GB2312" w:cs="Times New Roman"/>
          <w:color w:val="auto"/>
          <w:sz w:val="32"/>
          <w:szCs w:val="32"/>
          <w:highlight w:val="none"/>
          <w:u w:val="none"/>
          <w:lang w:eastAsia="zh-CN"/>
        </w:rPr>
        <w:t>市人社局专业技术人员管理处</w:t>
      </w:r>
      <w:r>
        <w:rPr>
          <w:rFonts w:hint="eastAsia" w:ascii="Times New Roman" w:hAnsi="Times New Roman" w:eastAsia="仿宋_GB2312" w:cs="Times New Roman"/>
          <w:color w:val="auto"/>
          <w:sz w:val="32"/>
          <w:szCs w:val="32"/>
          <w:highlight w:val="none"/>
          <w:u w:val="none"/>
          <w:lang w:val="en-US" w:eastAsia="zh-CN"/>
        </w:rPr>
        <w:t xml:space="preserve"> 杨妤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rPr>
        <w:t>联系</w:t>
      </w:r>
      <w:r>
        <w:rPr>
          <w:rFonts w:hint="eastAsia" w:ascii="Times New Roman" w:hAnsi="Times New Roman" w:eastAsia="仿宋_GB2312" w:cs="Times New Roman"/>
          <w:color w:val="auto"/>
          <w:sz w:val="32"/>
          <w:szCs w:val="32"/>
          <w:highlight w:val="none"/>
          <w:u w:val="none"/>
          <w:lang w:val="en-US" w:eastAsia="zh-CN"/>
        </w:rPr>
        <w:t>电话：</w:t>
      </w:r>
      <w:r>
        <w:rPr>
          <w:rFonts w:hint="default" w:eastAsia="仿宋_GB2312" w:cs="Times New Roman"/>
          <w:color w:val="auto"/>
          <w:sz w:val="32"/>
          <w:szCs w:val="32"/>
          <w:highlight w:val="none"/>
          <w:u w:val="none"/>
          <w:lang w:val="en" w:eastAsia="zh-CN"/>
        </w:rPr>
        <w:t>022-</w:t>
      </w:r>
      <w:r>
        <w:rPr>
          <w:rFonts w:hint="eastAsia" w:ascii="Times New Roman" w:hAnsi="Times New Roman" w:eastAsia="仿宋_GB2312" w:cs="Times New Roman"/>
          <w:color w:val="auto"/>
          <w:sz w:val="32"/>
          <w:szCs w:val="32"/>
          <w:highlight w:val="none"/>
          <w:u w:val="none"/>
          <w:lang w:val="en-US" w:eastAsia="zh-CN"/>
        </w:rPr>
        <w:t>8231</w:t>
      </w:r>
      <w:r>
        <w:rPr>
          <w:rFonts w:hint="default" w:eastAsia="仿宋_GB2312" w:cs="Times New Roman"/>
          <w:color w:val="auto"/>
          <w:sz w:val="32"/>
          <w:szCs w:val="32"/>
          <w:highlight w:val="none"/>
          <w:u w:val="none"/>
          <w:lang w:val="en" w:eastAsia="zh-CN"/>
        </w:rPr>
        <w:t>8136</w:t>
      </w:r>
      <w:r>
        <w:rPr>
          <w:rFonts w:hint="eastAsia" w:ascii="Times New Roman" w:hAnsi="Times New Roman" w:eastAsia="仿宋_GB2312" w:cs="Times New Roman"/>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附件：1．2024年清华大学接受一般项目访问学者导师</w:t>
      </w:r>
      <w:r>
        <w:rPr>
          <w:rFonts w:hint="eastAsia" w:ascii="Times New Roman" w:hAnsi="Times New Roman" w:eastAsia="仿宋_GB2312"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目录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600" w:leftChars="0" w:firstLine="0" w:firstLine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申报清华大学访问学者信息表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eastAsia="仿宋_GB2312" w:cs="Times New Roman"/>
          <w:sz w:val="32"/>
          <w:szCs w:val="32"/>
          <w:highlight w:val="none"/>
          <w:lang w:val="en" w:eastAsia="zh-CN"/>
        </w:rPr>
        <w:t xml:space="preserve">                        </w:t>
      </w:r>
      <w:r>
        <w:rPr>
          <w:rFonts w:hint="eastAsia" w:eastAsia="仿宋_GB2312" w:cs="Times New Roman"/>
          <w:sz w:val="32"/>
          <w:szCs w:val="32"/>
          <w:highlight w:val="none"/>
          <w:lang w:val="en-US" w:eastAsia="zh-CN"/>
        </w:rPr>
        <w:t xml:space="preserve"> </w:t>
      </w:r>
      <w:r>
        <w:rPr>
          <w:rFonts w:hint="default" w:eastAsia="仿宋_GB2312" w:cs="Times New Roman"/>
          <w:sz w:val="32"/>
          <w:szCs w:val="32"/>
          <w:highlight w:val="none"/>
          <w:lang w:val="en"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2024年4月</w:t>
      </w:r>
      <w:r>
        <w:rPr>
          <w:rFonts w:hint="default" w:eastAsia="仿宋_GB2312" w:cs="Times New Roman"/>
          <w:sz w:val="32"/>
          <w:szCs w:val="32"/>
          <w:highlight w:val="none"/>
          <w:lang w:val="en" w:eastAsia="zh-CN"/>
        </w:rPr>
        <w:t>10</w:t>
      </w:r>
      <w:r>
        <w:rPr>
          <w:rFonts w:hint="default" w:ascii="Times New Roman" w:hAnsi="Times New Roman" w:eastAsia="仿宋_GB2312" w:cs="Times New Roman"/>
          <w:sz w:val="32"/>
          <w:szCs w:val="32"/>
          <w:highlight w:val="none"/>
        </w:rPr>
        <w:t>日</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eastAsia="zh-CN"/>
        </w:rPr>
        <w:t>（此件主动公开）</w:t>
      </w:r>
    </w:p>
    <w:p>
      <w:pPr>
        <w:keepNext w:val="0"/>
        <w:keepLines w:val="0"/>
        <w:pageBreakBefore w:val="0"/>
        <w:kinsoku/>
        <w:wordWrap/>
        <w:overflowPunct/>
        <w:topLinePunct w:val="0"/>
        <w:autoSpaceDE/>
        <w:autoSpaceDN/>
        <w:bidi w:val="0"/>
        <w:spacing w:line="240" w:lineRule="auto"/>
        <w:textAlignment w:val="auto"/>
        <w:rPr>
          <w:rFonts w:hint="eastAsia" w:ascii="黑体" w:hAnsi="黑体" w:eastAsia="黑体" w:cs="黑体"/>
          <w:b w:val="0"/>
          <w:bCs/>
          <w:sz w:val="30"/>
          <w:szCs w:val="30"/>
          <w:highlight w:val="none"/>
        </w:rPr>
      </w:pPr>
      <w:r>
        <w:rPr>
          <w:rFonts w:hint="eastAsia" w:ascii="黑体" w:hAnsi="黑体" w:eastAsia="黑体" w:cs="黑体"/>
          <w:b w:val="0"/>
          <w:bCs/>
          <w:sz w:val="30"/>
          <w:szCs w:val="30"/>
          <w:highlight w:val="none"/>
        </w:rPr>
        <w:br w:type="page"/>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附件1</w:t>
      </w:r>
    </w:p>
    <w:tbl>
      <w:tblPr>
        <w:tblStyle w:val="8"/>
        <w:tblpPr w:leftFromText="180" w:rightFromText="180" w:vertAnchor="text" w:horzAnchor="page" w:tblpX="797" w:tblpY="659"/>
        <w:tblOverlap w:val="never"/>
        <w:tblW w:w="10441" w:type="dxa"/>
        <w:tblInd w:w="0" w:type="dxa"/>
        <w:tblLayout w:type="fixed"/>
        <w:tblCellMar>
          <w:top w:w="0" w:type="dxa"/>
          <w:left w:w="108" w:type="dxa"/>
          <w:bottom w:w="0" w:type="dxa"/>
          <w:right w:w="108" w:type="dxa"/>
        </w:tblCellMar>
      </w:tblPr>
      <w:tblGrid>
        <w:gridCol w:w="666"/>
        <w:gridCol w:w="1210"/>
        <w:gridCol w:w="1052"/>
        <w:gridCol w:w="851"/>
        <w:gridCol w:w="1276"/>
        <w:gridCol w:w="850"/>
        <w:gridCol w:w="1276"/>
        <w:gridCol w:w="992"/>
        <w:gridCol w:w="2268"/>
      </w:tblGrid>
      <w:tr>
        <w:tblPrEx>
          <w:tblCellMar>
            <w:top w:w="0" w:type="dxa"/>
            <w:left w:w="108" w:type="dxa"/>
            <w:bottom w:w="0" w:type="dxa"/>
            <w:right w:w="108" w:type="dxa"/>
          </w:tblCellMar>
        </w:tblPrEx>
        <w:trPr>
          <w:trHeight w:val="738" w:hRule="atLeast"/>
        </w:trPr>
        <w:tc>
          <w:tcPr>
            <w:tcW w:w="10441" w:type="dxa"/>
            <w:gridSpan w:val="9"/>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000000"/>
                <w:kern w:val="0"/>
                <w:sz w:val="36"/>
                <w:szCs w:val="36"/>
                <w:highlight w:val="none"/>
              </w:rPr>
            </w:pPr>
            <w:r>
              <w:rPr>
                <w:rFonts w:hint="default" w:ascii="Times New Roman" w:hAnsi="Times New Roman" w:eastAsia="方正小标宋简体" w:cs="Times New Roman"/>
                <w:b w:val="0"/>
                <w:bCs w:val="0"/>
                <w:color w:val="000000"/>
                <w:kern w:val="0"/>
                <w:sz w:val="44"/>
                <w:szCs w:val="44"/>
                <w:highlight w:val="none"/>
              </w:rPr>
              <w:t>2024年清华大学接受一般项目访问学者导师目录</w:t>
            </w:r>
          </w:p>
        </w:tc>
      </w:tr>
      <w:tr>
        <w:tblPrEx>
          <w:tblCellMar>
            <w:top w:w="0" w:type="dxa"/>
            <w:left w:w="108" w:type="dxa"/>
            <w:bottom w:w="0" w:type="dxa"/>
            <w:right w:w="108" w:type="dxa"/>
          </w:tblCellMar>
        </w:tblPrEx>
        <w:trPr>
          <w:trHeight w:val="57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编号</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接受院系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规范的二级学科专业名称</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二级学科代码</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所在一级学科名称</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一级学科代码</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学科情况</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教师</w:t>
            </w:r>
          </w:p>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姓名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课题名称</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丁四新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出土简帛四古本《老子》综合研究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外国哲学、伦理学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黄裕生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本相伦理学研究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逻辑学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刘奋荣</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图博弈逻辑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宗教学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圣凯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汉传佛教僧众社会生活史</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伦理学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唐文明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中国伦理思想史</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伦理学、政治哲学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万俊人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清华大学道德与宗教研究院项目</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金融学（含：保险学）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何平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智慧城市能源管理平台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国际贸易学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陆毅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开放环境下的中国最优税制设计研究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国际贸易学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马弘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大国竞争背景下关键领域产业链供应链重构的风险评估与对策研究</w:t>
            </w:r>
          </w:p>
        </w:tc>
      </w:tr>
      <w:tr>
        <w:tblPrEx>
          <w:tblCellMar>
            <w:top w:w="0" w:type="dxa"/>
            <w:left w:w="108" w:type="dxa"/>
            <w:bottom w:w="0" w:type="dxa"/>
            <w:right w:w="108" w:type="dxa"/>
          </w:tblCellMar>
        </w:tblPrEx>
        <w:trPr>
          <w:trHeight w:val="140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财政学（含∶税收学）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020203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应用经济学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吴斌珍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中国企业税费负担水平和差距：现状、原因及影响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陈杭平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①民事强制执行法立法研究②民事诉讼法学基础理论研究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陈新宇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晚清立法新研究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崔国斌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知识产权法研究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法学理论</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高其才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①法理学②法社会学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高丝敏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破产法、金融法等商事领域立法改革和理论前沿问题研究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韩世远</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①合同法新问题②联合国国际货物销售合同公约在中国的适用</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劳东燕</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网络犯罪与智慧司法的前沿问题研究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黎宏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当代刑法的理论与课题</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梁上上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商法学的新发展</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宪法学行政法学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林来梵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民法典中的宪法问题</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印度法与伊斯兰法研究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聂鑫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中华民国（南京）宪法研究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任重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民法典与民事诉讼法的协同实施研究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申卫星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互联网经济法治保障</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民商法学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沈朝晖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 新公司法及相邻法律制度研究②证券法实施问题研究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法律史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苏亦工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清朝经营西北边疆之得失研究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环境与能源法学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王明远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环境、自然资源与能源法基本理论</w:t>
            </w:r>
          </w:p>
        </w:tc>
      </w:tr>
      <w:tr>
        <w:tblPrEx>
          <w:tblCellMar>
            <w:top w:w="0" w:type="dxa"/>
            <w:left w:w="108" w:type="dxa"/>
            <w:bottom w:w="0" w:type="dxa"/>
            <w:right w:w="108" w:type="dxa"/>
          </w:tblCellMar>
        </w:tblPrEx>
        <w:trPr>
          <w:trHeight w:val="11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易延友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非法证据排除规则实证研究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宪法学行政法学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余凌云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大数据、人工智能背景下的公安法治建设研究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诉讼法学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张建伟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以审判为中心的诉讼制度改革深化研究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张明楷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中国刑法的特有问题</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经济法学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郑尚元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工伤保险法律制度的完善研究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法学院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刑法学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法学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周光权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新型犯罪的认定问题研究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国际政治</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030206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政治学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①东亚地区经验与国际关系理论创新②美国盟伴体系演变与中国国家安全</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中外政治制度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030202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政治学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杨雪冬</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全球化与政治发展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社会政策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刘军强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①社会政策研究② 政府组织研究</w:t>
            </w:r>
          </w:p>
        </w:tc>
      </w:tr>
      <w:tr>
        <w:tblPrEx>
          <w:tblCellMar>
            <w:top w:w="0" w:type="dxa"/>
            <w:left w:w="108" w:type="dxa"/>
            <w:bottom w:w="0" w:type="dxa"/>
            <w:right w:w="108" w:type="dxa"/>
          </w:tblCellMar>
        </w:tblPrEx>
        <w:trPr>
          <w:trHeight w:val="120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社会学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博士后科研流动站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严海蓉</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边疆社会的空间意义与中华民族多元一体格局的现当代变迁（负责人与单位：汪晖教授，清华大学人文与社会科学高等研究所）。严海蓉负责其中的一个子课题：生态搬迁和民族社区生计转型</w:t>
            </w:r>
          </w:p>
        </w:tc>
      </w:tr>
      <w:tr>
        <w:tblPrEx>
          <w:tblCellMar>
            <w:top w:w="0" w:type="dxa"/>
            <w:left w:w="108" w:type="dxa"/>
            <w:bottom w:w="0" w:type="dxa"/>
            <w:right w:w="108" w:type="dxa"/>
          </w:tblCellMar>
        </w:tblPrEx>
        <w:trPr>
          <w:trHeight w:val="2994"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马克思主义发展史、马克思主义基本原理</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艾四林</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马克思主义经典文献世界传播通考、新时代高校马克思主义理论学科建设研究、习近平新时代中国特色社会主义思想的世界观和方法论研究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马克思主义中国化研究</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解安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“超大规模人口国家农业农村现代化建设研究”（23AZD012）</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马克思主义基本原理/马克思主义发展中</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030501/030502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李成旺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马克思哲学与德国古典哲学关系研究；历史唯物主义重大问题探究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马克思主义中国化研究</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王传利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新时代党风廉政建设和反腐败斗争研究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思愁政治教育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王雯姝</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十八大以来思政课发展历程与建设经验研究</w:t>
            </w:r>
          </w:p>
        </w:tc>
      </w:tr>
      <w:tr>
        <w:tblPrEx>
          <w:tblCellMar>
            <w:top w:w="0" w:type="dxa"/>
            <w:left w:w="108" w:type="dxa"/>
            <w:bottom w:w="0" w:type="dxa"/>
            <w:right w:w="108" w:type="dxa"/>
          </w:tblCellMar>
        </w:tblPrEx>
        <w:trPr>
          <w:trHeight w:val="144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思想政治教育</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吴潜涛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国家社科基金重大项目“弘扬以伟大建党精神为源头的中国共产党人精神谱系研究”[项目编号：23ZDA087]②教育部人文社会科学重点研究基地重大项目“中国共产党高校德育的历史发展研究”[项目编号：22JJD710008]</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思想政治教育</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张瑜</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教育部思政课教师专项重大课题攻关项目——思政课教师网络育人能力提升研究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马克思主义基本原理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马克思主义理论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朱安东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当代资本主义的本质特征、重大问题和影响研究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高等教育学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王传毅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双一流建设与评价研究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高等教育学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高等教育强国的理论和实践研究</w:t>
            </w:r>
          </w:p>
        </w:tc>
      </w:tr>
      <w:tr>
        <w:tblPrEx>
          <w:tblCellMar>
            <w:top w:w="0" w:type="dxa"/>
            <w:left w:w="108" w:type="dxa"/>
            <w:bottom w:w="0" w:type="dxa"/>
            <w:right w:w="108" w:type="dxa"/>
          </w:tblCellMar>
        </w:tblPrEx>
        <w:trPr>
          <w:trHeight w:val="144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学生处</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应用心理学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心理学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校-医-家”协同的高校学生心理健康服务与心理危机管理机制研究② 高校学生心理健康教育典型经验和优秀成果的案例研究③ 心理危机大学生的心理特点及对策研究, 2022年清华大学党的建设和思想政治工作研究专项</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曹春梅</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智能军体参谋体能训练理论体系构建</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体育人文社会学</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郭振</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2022年北京冬奥会背景下体育与生态文明协同发展研究</w:t>
            </w:r>
          </w:p>
        </w:tc>
      </w:tr>
      <w:tr>
        <w:tblPrEx>
          <w:tblCellMar>
            <w:top w:w="0" w:type="dxa"/>
            <w:left w:w="108" w:type="dxa"/>
            <w:bottom w:w="0" w:type="dxa"/>
            <w:right w:w="108" w:type="dxa"/>
          </w:tblCellMar>
        </w:tblPrEx>
        <w:trPr>
          <w:trHeight w:val="96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51</w:t>
            </w:r>
          </w:p>
        </w:tc>
        <w:tc>
          <w:tcPr>
            <w:tcW w:w="121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体育人文社会学</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040301</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胡孝乾</w:t>
            </w:r>
          </w:p>
        </w:tc>
        <w:tc>
          <w:tcPr>
            <w:tcW w:w="226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①奥林匹克可持续发展理念下双奥竞技体育遗产治理中国方案的实践智慧与世界意义研究②疫情防控常态化背景下北京冬奥会大众体育遗产治理研究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52</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体育人文社会学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040301</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刘波</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①新时代中国特色竟技体育人才培养模式研究②青少年体育发展研究③国家体育总局体育高端智库建设项目</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53</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马新东</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我国青少年健康干预研究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54</w:t>
            </w:r>
          </w:p>
        </w:tc>
        <w:tc>
          <w:tcPr>
            <w:tcW w:w="121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于洪军</w:t>
            </w:r>
          </w:p>
        </w:tc>
        <w:tc>
          <w:tcPr>
            <w:tcW w:w="226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建成环境对老年人身体活动行为影响研究</w:t>
            </w:r>
          </w:p>
        </w:tc>
      </w:tr>
      <w:tr>
        <w:tblPrEx>
          <w:tblCellMar>
            <w:top w:w="0" w:type="dxa"/>
            <w:left w:w="108" w:type="dxa"/>
            <w:bottom w:w="0" w:type="dxa"/>
            <w:right w:w="108" w:type="dxa"/>
          </w:tblCellMar>
        </w:tblPrEx>
        <w:trPr>
          <w:trHeight w:val="1015" w:hRule="atLeast"/>
        </w:trPr>
        <w:tc>
          <w:tcPr>
            <w:tcW w:w="666"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55</w:t>
            </w:r>
          </w:p>
        </w:tc>
        <w:tc>
          <w:tcPr>
            <w:tcW w:w="1210" w:type="dxa"/>
            <w:tcBorders>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体育部</w:t>
            </w:r>
          </w:p>
        </w:tc>
        <w:tc>
          <w:tcPr>
            <w:tcW w:w="1052"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运动人体科学</w:t>
            </w:r>
          </w:p>
        </w:tc>
        <w:tc>
          <w:tcPr>
            <w:tcW w:w="851"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040302</w:t>
            </w:r>
          </w:p>
        </w:tc>
        <w:tc>
          <w:tcPr>
            <w:tcW w:w="1276"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体育学</w:t>
            </w:r>
          </w:p>
        </w:tc>
        <w:tc>
          <w:tcPr>
            <w:tcW w:w="850"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0403</w:t>
            </w:r>
          </w:p>
        </w:tc>
        <w:tc>
          <w:tcPr>
            <w:tcW w:w="1276"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w:t>
            </w:r>
          </w:p>
        </w:tc>
        <w:tc>
          <w:tcPr>
            <w:tcW w:w="992"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张冰</w:t>
            </w:r>
          </w:p>
        </w:tc>
        <w:tc>
          <w:tcPr>
            <w:tcW w:w="2268" w:type="dxa"/>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肽的功效研究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中国现当代文学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陈国平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中国现当代文学史、中国现代诗学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文艺学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汪民安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文化诗学视域下的21世纪西方文论思潮研究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外国语言学及应用语言学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刘梅华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教育部拔尖人才项目：拔尖学生外语学习情绪和自我决定动机特点研究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外国语言文学系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英语语言文学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外国语言文学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生安锋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①美国族裔文学中的文化共同体思想研究②外国文学研究中的文学世界主义</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外国语言学及应用语言学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杨小璐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语言学理论与语言习得</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61</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外国语言学及应用语言学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外国语言文学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0502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张文霞</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数字赋能的外语学习者书面沟通能力监测及研究</w:t>
            </w:r>
          </w:p>
        </w:tc>
      </w:tr>
      <w:tr>
        <w:tblPrEx>
          <w:tblCellMar>
            <w:top w:w="0" w:type="dxa"/>
            <w:left w:w="108" w:type="dxa"/>
            <w:bottom w:w="0" w:type="dxa"/>
            <w:right w:w="108" w:type="dxa"/>
          </w:tblCellMar>
        </w:tblPrEx>
        <w:trPr>
          <w:trHeight w:val="72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62</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ZHAO YUEZHI(赵月枝)</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马克思主义新闻学与新闻教育改革研究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曹书乐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中国网络视频生产模式及管理研究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曾繁旭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气候传播与风险治理研究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陈昌凤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智能时代的信息价值观引领研究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崔保国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构建全球化互联网治理体系研究</w:t>
            </w:r>
          </w:p>
        </w:tc>
      </w:tr>
      <w:tr>
        <w:tblPrEx>
          <w:tblCellMar>
            <w:top w:w="0" w:type="dxa"/>
            <w:left w:w="108" w:type="dxa"/>
            <w:bottom w:w="0" w:type="dxa"/>
            <w:right w:w="108" w:type="dxa"/>
          </w:tblCellMar>
        </w:tblPrEx>
        <w:trPr>
          <w:trHeight w:val="100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戴佳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新时代环境生态文明传播策划与效果研究</w:t>
            </w:r>
          </w:p>
        </w:tc>
      </w:tr>
      <w:tr>
        <w:tblPrEx>
          <w:tblCellMar>
            <w:top w:w="0" w:type="dxa"/>
            <w:left w:w="108" w:type="dxa"/>
            <w:bottom w:w="0" w:type="dxa"/>
            <w:right w:w="108" w:type="dxa"/>
          </w:tblCellMar>
        </w:tblPrEx>
        <w:trPr>
          <w:trHeight w:val="99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范红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文化自信与“国家形象”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杭敏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财经领域舆情研究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当代中国新闻观念研究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蒋俏蕾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智能手机对未成年人身心健康发展的影响极其协同共治机制研究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72</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金兼斌</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5G时代新闻传播的格局变迁与研究范式转型</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73</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雷建军</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纪录片研究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李希光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中医药文化国际传播认同体系研究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梁君健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新时代主流影视剧的创作与传播创新研究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卢嘉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网络时代信息传播在构建人类命运共同体中的作用及路径研究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沈阳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基于机器博弈的网络信息传播安全多准则动态管控策略研究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史安斌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新时代中华文化走出去策略研究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司若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视听艺术精品推动中华优秀传统文化创造性转化、创新性发展研究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王君超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互联网全球治理的“中国方案” ——儒家文化的解决之道</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吴璟薇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马克思主义媒介技术观研究</w:t>
            </w:r>
          </w:p>
        </w:tc>
      </w:tr>
      <w:tr>
        <w:tblPrEx>
          <w:tblCellMar>
            <w:top w:w="0" w:type="dxa"/>
            <w:left w:w="108" w:type="dxa"/>
            <w:bottom w:w="0" w:type="dxa"/>
            <w:right w:w="108" w:type="dxa"/>
          </w:tblCellMar>
        </w:tblPrEx>
        <w:trPr>
          <w:trHeight w:val="103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尹红（尹鸿）*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影视传播研究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83</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张莉</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欧盟媒介语境中的“一带一路”与提升我国对欧传播力研究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84</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张小琴</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影视如何讲好中国故事：构建中国故事的影像修辞系统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新型数字文化消费对Z世代生活方式的影响研究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新闻与传播学院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新闻传播学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周庆安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新时代政府新闻发布评估体系研究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陶瓷艺术设计方向日用陶瓷设计</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传统陶瓷文化与生活陶瓷设计研究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中国古代史</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060106</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历史学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0601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侯旭东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文书简牍理论，中古民族与国家建构</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运筹学与控制论</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刘宝碇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不确定理论与不确定统计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基础数学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左怀青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奇点的不变量理论</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91</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凝聚态物理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070205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徐勇</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第一性原理计算与人工智能的交叉领域研究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92</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陈超</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元素有机化学</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陈晨</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单原子催化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94</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段昊泓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电催化与过程耦合强化</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冯琳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超浸润材料用于咖啡废水处理的研究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付华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配位硫过氧化物的合成及其反应性研究</w:t>
            </w:r>
          </w:p>
        </w:tc>
      </w:tr>
      <w:tr>
        <w:tblPrEx>
          <w:tblCellMar>
            <w:top w:w="0" w:type="dxa"/>
            <w:left w:w="108" w:type="dxa"/>
            <w:bottom w:w="0" w:type="dxa"/>
            <w:right w:w="108" w:type="dxa"/>
          </w:tblCellMar>
        </w:tblPrEx>
        <w:trPr>
          <w:trHeight w:val="106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郭庆辉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基于新型卤键作用的化学反应调控</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何彦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微纳复杂体系的动态单分子成像及应用研究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胡昉昊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活细胞超多通道功能性受激拉曼散射成像</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胡憾石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重元素理论计算化学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吉岩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液晶弹性体的加工</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焦雷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自由基中间体的有机合成反应研究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103</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焦丽颖</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金属性二维过渡金属硫族化合物制备及其性能研究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寇会忠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氰根桥联配位聚合物的荧光自旋交叉耦合作用研究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李必杰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内烯烃不对称氢酰化反应研究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106</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李广涛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合成新型两亲性分子组装及其功能研究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李景虹</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生物分析化学</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单原子催化理论研究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李亚栋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纳米、单原子催化</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新型分子电子器件的机理研究和理性设计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111</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李远</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分子热电效应及其相关的器件化应用研究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梁琼麟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①药品质量与安全②微流控芯片分析③类器官与器官芯片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林朝阳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高性能二维半导体晶体的液相合成及其在可打印柔性电子器件中的应 用研究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林金明</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环境及食品有害物质的快速检测技术研究</w:t>
            </w:r>
          </w:p>
        </w:tc>
      </w:tr>
      <w:tr>
        <w:tblPrEx>
          <w:tblCellMar>
            <w:top w:w="0" w:type="dxa"/>
            <w:left w:w="108" w:type="dxa"/>
            <w:bottom w:w="0" w:type="dxa"/>
            <w:right w:w="108" w:type="dxa"/>
          </w:tblCellMar>
        </w:tblPrEx>
        <w:trPr>
          <w:trHeight w:val="28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刘凯</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生物合成高性能材料</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蛋白质化学合成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117</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刘礼晨</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多相催化剂研究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阴离子金属氢配合物的金属有机化学与催化性能</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电化学发光生物分析</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罗三中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手性伯胺-金属协同催化反应研究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121</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马冬昕</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基于可升华离子型铱配合物的高性能蓝光材料与器件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彭卿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单原子催化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乔娟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①有机发光材料和器件②有机发光材料物理化学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124</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邱新平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负极复合材料及电化学界面特性的研究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曲良体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电池电容类新能源材料与器件研究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126</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王朝晖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新型碳精准化学创制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王定胜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团簇与纳米化学</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王梅祥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手性大环分子的催化不对称合成研究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王泉明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金属团簇催化剂的可控合成及宏量制备</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魏永革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多酸的修饰及其催化应用</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席婵娟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二氧化碳的活化与转化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瑕瑜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新型自由基诱导碎裂串联质谱技术和脂质-蛋白相互作用质谱分析平台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向宇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感染示踪分析与抑制剂高通量筛选研究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肖海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多相催化体系的理论设计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高分子化学与物理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许华平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非碳主链高分子的制备及性能研究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无机化学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严清峰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①细胞代谢物质谱分析②微流控水质分析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液相物质原子级时空分辨高能电子衍射技术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138</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杨金东</w:t>
            </w:r>
          </w:p>
        </w:tc>
        <w:tc>
          <w:tcPr>
            <w:tcW w:w="226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物理有机化学②有机反应机理研究③合成反应设计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喻国灿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新型可离子化多价阳离子脂质体的设计与合成</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高分子化学与物理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袁金颖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活性/可控聚合、智能高分子、聚合诱导组装、抗菌材料、环境友好高分子、运用人工智能探索高分子合成与材料应用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基于图案化纳米晶体光电器件的细胞膜界面传感与调控</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新型羰基超结构仿酶催化剂研究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金属有机化学</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张韶光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重主族元素氧化还原催化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张四纯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单细胞代谢物质谱分析②基于ICP-MS检测生物大分子的元素标签研究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145</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物理化学（含化学物理）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张莹莹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电子纤维与智能织物系统</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146</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章名田</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利用多级电子-质子耦合转移新模式实现以水为还原剂的有机化合物还原新反应</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①有机金属簇的合成与性能研究②耐水性烯烃环氧化催化剂的开发与催化机制研究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分析化学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朱永法</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光催化环境净化及二氧化碳太阳能转化研究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有机化学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唐叶峰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天然产物合成及相关药物化学研究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自然地理学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①森林扰动生态效应②地球系统模式研发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地图学与地理信息系统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卢麾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①陆表水循环定量遥感②水旱灾害监测与预报</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地图学与地理信息系统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俞乐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①卫星遥感时代全球森林扰动数据集研制②适应气候变化的生物多样性保护技术评估及环境管理联合研究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固体地球物理学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地球物理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杨顶辉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基于新一代信息技术的复杂油气储层地震勘探理论和方法</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吝易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生物大分子相分离与神经退行性疾病</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刘万里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免疫系统疾病</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遗传学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非编码RNA研究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生物化学与分子生物学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液体活检中超微量RNA新型检测方法的研发</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戚益军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植物非编码RNA与小肽的功能机制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人文学院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科学技术史</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0712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吴国盛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世界科学技术通史研究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符松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流动稳定性、转捩与湍流模式研究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李喜德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①纳米尺度材料变形与断裂性能的实验研究②薄壁气膜孔及涂层等特征结构对单晶叶片服役性能影响机制研究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谢惠民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国家自然科学基金重点项目：激光修复金属材料和结构服役失效行为的光测力学方法和技术研究</w:t>
            </w:r>
          </w:p>
        </w:tc>
      </w:tr>
      <w:tr>
        <w:tblPrEx>
          <w:tblCellMar>
            <w:top w:w="0" w:type="dxa"/>
            <w:left w:w="108" w:type="dxa"/>
            <w:bottom w:w="0" w:type="dxa"/>
            <w:right w:w="108" w:type="dxa"/>
          </w:tblCellMar>
        </w:tblPrEx>
        <w:trPr>
          <w:trHeight w:val="145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姚学锋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①先进复合材料结构及修复②先进测试技术③橡胶密封</w:t>
            </w:r>
          </w:p>
        </w:tc>
      </w:tr>
      <w:tr>
        <w:tblPrEx>
          <w:tblCellMar>
            <w:top w:w="0" w:type="dxa"/>
            <w:left w:w="108" w:type="dxa"/>
            <w:bottom w:w="0" w:type="dxa"/>
            <w:right w:w="108" w:type="dxa"/>
          </w:tblCellMar>
        </w:tblPrEx>
        <w:trPr>
          <w:trHeight w:val="1489"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固体力学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力学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张雄</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极端变形问题的数值模拟技术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侯之超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面向环境影响的动力/储能电池多场耦合机理分析与性能调控 ②新型轮毂驱动及其底盘技术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汽车自动驾驶决策与控制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李克强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智能座舱SOA系统研究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李升波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自动驾驶汽车的预测型运动控制与高实时优化求解面向城市交通场景的自动驾驶类脑决策规划研究与验证 ③开放驾驶场景理解与自主决策迭代学习</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王建强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①高级别自动驾驶复杂行车环境风险认知、量化评估与安全决策技术研究；②基于5G远程驾驶与自动驾驶融合的多车协同信息物理系统关键技术研究；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关立文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①打磨与喷涂技术</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②航空结构件变参数加工</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郭飞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①高性能橡塑密封自主化研制②改性聚四氟乙烯材料复配技术及工艺开发③密封在线监测技术④橡塑密封专用数字化设计软件开发⑤基于密封性能的橡胶材料指标体系数字化设计⑥深低温密封性能测试技术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李永健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①流体密封与润滑理论及关键技术②微流控芯片和生物流体仿真与实验</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333333"/>
                <w:kern w:val="0"/>
                <w:sz w:val="20"/>
                <w:szCs w:val="20"/>
                <w:highlight w:val="none"/>
              </w:rPr>
            </w:pPr>
            <w:r>
              <w:rPr>
                <w:rFonts w:hint="default" w:ascii="Times New Roman" w:hAnsi="Times New Roman" w:eastAsia="仿宋_GB2312" w:cs="Times New Roman"/>
                <w:color w:val="333333"/>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邵珠峰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①成品油轮内舱喷涂索驱机器人研发②燃气管道内检测机器人研制③索驱仿人机械臂及智能控制研究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史清宇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①铝/镁异质合金超声辅助搅拌摩擦焊接成形成性的多场耦合调控机理</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①固态增材超高强铝钢异构界面调控机理研究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175</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机械制造及其自动化</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先进成形制造教育部重点实验室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多层次细胞组装构建类器官研究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176</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王玉明</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金属橡胶密封件功能界面劣化机理和性能调控</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①高精度便携式多功能口腔数字印模仪关键技术研究及综合临床验证，②飞机电缆线束机器人自动化安装的基础理论与关键技术研究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张建富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智能制造技术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机械工程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用于磁共振图像增强的共形超构材料关键技术与临床应用研究（国家重点研发计划项目）</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精密仪器系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光学工程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吴冠豪</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①固态激光雷达②光频梳精密测量</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精密仪器系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精密仪器及机械</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仪器科学与技术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333333"/>
                <w:kern w:val="0"/>
                <w:sz w:val="20"/>
                <w:szCs w:val="20"/>
                <w:highlight w:val="none"/>
              </w:rPr>
            </w:pPr>
            <w:r>
              <w:rPr>
                <w:rFonts w:hint="default" w:ascii="Times New Roman" w:hAnsi="Times New Roman" w:eastAsia="仿宋_GB2312" w:cs="Times New Roman"/>
                <w:color w:val="333333"/>
                <w:kern w:val="0"/>
                <w:sz w:val="20"/>
                <w:szCs w:val="20"/>
                <w:highlight w:val="none"/>
              </w:rPr>
              <w:t>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孔令杰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介观尺度多模态神经活动观测与调控关键技术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精密仪器系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精密仪器及机械</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仪器科学与技术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333333"/>
                <w:kern w:val="0"/>
                <w:sz w:val="20"/>
                <w:szCs w:val="20"/>
                <w:highlight w:val="none"/>
              </w:rPr>
            </w:pPr>
            <w:r>
              <w:rPr>
                <w:rFonts w:hint="default" w:ascii="Times New Roman" w:hAnsi="Times New Roman" w:eastAsia="仿宋_GB2312" w:cs="Times New Roman"/>
                <w:color w:val="333333"/>
                <w:kern w:val="0"/>
                <w:sz w:val="20"/>
                <w:szCs w:val="20"/>
                <w:highlight w:val="none"/>
              </w:rPr>
              <w:t>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谈宜东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①激光精密测量技术；</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②微腔激光器及传感；</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③光纤SPR传感及生化检测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陈浩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具有阻氚功能的水冷包层模块整体制造技术研发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董岩皓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结构陶瓷材料，新型储能材料。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材料物理与化学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刘锴</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①二维材料的可控制备②二维材料功能器件③碳纳米复合材料及其功能应用</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186</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潘峰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高频大带宽射频滤波关键材料与器件技术</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187</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材料加工工程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080503</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沈厚发</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铸锭、铸坯凝固模拟仿真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王轲</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高性能压电陶瓷材料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材料加工工程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许庆彦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材料加工/凝固过程建模与仿真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材料学院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材料物理与化学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尹斓</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生物可降解器件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郭宝华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环境友好高分子材料医用组织工程材料聚合物凝聚态的基础问题聚合物体系的反应挤出、反应增容和聚合物加工聚合物合金材料与纳米复合材料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和亚宁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刺激响应高分子、活性可控聚合、高性能高分子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阚成友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环境友好高分子材料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梁福鑫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高分子分区复合材料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唐黎明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①超分子聚合物及凝胶超支化聚合物②涂料及粘合剂</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庹新林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①高性能高分子材料②高分子纳米纤维材料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谢续明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高分子物理化学及新材料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环境友好高分子材料高分子结晶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燕立唐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高分子及软物质理论、计算与模拟</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①高分子材料老化机理、稳定性评价及寿命预测②复合相变储能材料，高分子材料结构性能关系</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201</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化工系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080502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材料科学与工程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杨振忠</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高分子多尺度多功能复合方法学及其基本问题研究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202</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卢兰光</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①全固态电池用导锂粘结剂研究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张扬军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飞行汽车涡电动力技术研究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车辆与运载学院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诸葛伟林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新能源涡电动力技术研究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曹炳阳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①微纳流动传热与微纳能源系统②热功能材料③先进热管理技术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马维刚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①微纳尺度传热②电子器件热管理③离子热电④固态电池相关</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工程热物理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姜培学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①微纳尺度流动与传热②超临界压力流体热质传递③清洁能源技术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流体机械及工程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罗先武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①流体机械多相流动机理②抽水蓄能③心外科医工交叉技术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祁海鹰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大型燃煤循环流化床锅炉多相反应流动仿真及灵活性研究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动力机械及工程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任静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燃气轮机气冷透平冷却技术研究 ② 航空发动机空气系统关键技术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隋然</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催化燃烧</w:t>
            </w:r>
          </w:p>
        </w:tc>
      </w:tr>
      <w:tr>
        <w:tblPrEx>
          <w:tblCellMar>
            <w:top w:w="0" w:type="dxa"/>
            <w:left w:w="108" w:type="dxa"/>
            <w:bottom w:w="0" w:type="dxa"/>
            <w:right w:w="108" w:type="dxa"/>
          </w:tblCellMar>
        </w:tblPrEx>
        <w:trPr>
          <w:trHeight w:val="96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212</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流体机械及工程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肖业祥</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冲击式水轮机复杂多相流动特性研究②海水淡化泵与能量回收一体机关键技术研究 ③ 水泵水轮机宽负荷稳定运行优化研究</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213</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0807</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杨海瑞</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流态化热化学储热②加压富氧流态化燃烧</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能源与动力工程系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热能工程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动力工程及工程热物理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国家工程中心</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周会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CO2捕集与转化技术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215</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高电压与绝缘技术</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080803</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党智敏</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先进能源电工材料与器件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216</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郭庆来</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①面向城市级多能系统耦合安全的多主体协同态势感知技术②基于混合智能的新型电力系统运行方式知识发现研究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217</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胡伟*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①电力大数据和电力人工智能技术②综合能源电力系统互补协调技术③多样化新能源发电和新型储能控制技术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电力电子与电力传动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新能源与微电网系统先进电力电子技术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电力电子与电力传动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王善铭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①高效电机与驱动系统②高性能电机与驱动系统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220</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魏韡</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高比例新能源电力系统储能容量配置与优化运行</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221</w:t>
            </w:r>
          </w:p>
        </w:tc>
        <w:tc>
          <w:tcPr>
            <w:tcW w:w="121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电机系</w:t>
            </w:r>
          </w:p>
        </w:tc>
        <w:tc>
          <w:tcPr>
            <w:tcW w:w="105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魏应冬</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①基于机器学习的柔性牵引供电系统优化运行与控制②新能源离构网制氢电力系统关键技术研究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电力系统及其自动化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电气工程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耿华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①新能源并网技术②新型电力系统稳定与优化</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李学清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①基于铁电晶体管的片上非易失存储和非易失计算的研究②大面积薄膜电路、边缘计算架构及设计方法学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电磁场与微波技术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毫米波太赫兹天线技术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刘勇攀</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高能效存算一体智能芯片</w:t>
            </w:r>
          </w:p>
        </w:tc>
      </w:tr>
      <w:tr>
        <w:tblPrEx>
          <w:tblCellMar>
            <w:top w:w="0" w:type="dxa"/>
            <w:left w:w="108" w:type="dxa"/>
            <w:bottom w:w="0" w:type="dxa"/>
            <w:right w:w="108" w:type="dxa"/>
          </w:tblCellMar>
        </w:tblPrEx>
        <w:trPr>
          <w:trHeight w:val="99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罗毅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自由空间光通信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乔飞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智能感知集成电路与系统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微电子学与固体电子学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盛兴</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面向生物医疗的植入式微纳光电子器件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高能效新型数字化高速射频模数转换器架构和电路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熊兵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超宽带光电子器件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电磁场与微波技术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①超低成本某相控阵技术②高隔离度收发一体天线阵列设计和制造工艺设计③太赫兹相控阵微系统芯片④太赫兹电扫相控电磁表面天线系统。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电路与系统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杨华中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①大面积薄膜电子器件及集成系统②面向物联网的常关型非易失智能计算芯片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芯片上量子光学和量子信息功能实现</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物理电子学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郑小平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宽带微波光子相参成像雷达</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微电子学与固体电子学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陈虹</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①异步类脑算法及芯片②智能医疗算法及系统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集成电路学院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微电子学与固体电子学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0809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唐建石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忆阻器与类脑计算</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237</w:t>
            </w:r>
          </w:p>
        </w:tc>
        <w:tc>
          <w:tcPr>
            <w:tcW w:w="121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集成电路学院</w:t>
            </w:r>
          </w:p>
        </w:tc>
        <w:tc>
          <w:tcPr>
            <w:tcW w:w="105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微电子学与固体电子学</w:t>
            </w:r>
          </w:p>
        </w:tc>
        <w:tc>
          <w:tcPr>
            <w:tcW w:w="85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080903</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电子科学与技术</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0809</w:t>
            </w:r>
          </w:p>
        </w:tc>
        <w:tc>
          <w:tcPr>
            <w:tcW w:w="127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王晓红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 面向自供电无线通讯系统的高性能电源管理系芯片与系统 ② 高频微型超级电容器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陈巍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实时通信理论与关键技术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戴凌龙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6G无线空口关键技术研究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樊平毅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语义信息论与机器学习</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冯伟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天地一体6G通信网络</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谷源涛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数据挖掘中的信号处理方法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黄永峰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①面向网络民意调研知识库体系构建②网络隐蔽通信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雷达信号处理、遥感、信息融合</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刘长松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中医人工智能</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全国重点学科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陆明泉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定位、导航与授时技术</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宋健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①光通信融合网络②地面数字电视广播及其与移动通信融合网络③地面数字电视传输技术，如空间耦合LDPC码</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孙卫东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海洋遥感监测与应用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陶晓明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高清视频图像压缩方法研究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王贵锦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多模态融合感知</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①射频机器学习②协同智能</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王劲涛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①高速可靠无线通信②水下通信③可见光通信及定位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①医疗文本处理②医学影像分析③临床数据分析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通信与信息系统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极化雷达图像处理</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姚权铭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数据与知识双驱动的知识图谱学习方法研究</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 网络多模态共生与演化机制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电子系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信号与信息处理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张卫强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①人工智能②信号处理③语音、音频与声学处理</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信息国家研究中心</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信息与通信工程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潘长勇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①地面数字电视高清及超高清广播技术研究与实践②5G广播与地面数字电视广播兼容性研究与应用 ③ 未来多媒体广播技术演进</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戴琼海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国家自然科学基金委科学中心项目:认知计算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耿华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①AI及其在能源系统中的应用②海上风电建模与控制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何潇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动态系统故障诊断与容错控制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贾庆山</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新能源电力系统若干关键技术的数学理论与算法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生物信息学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①中医药信息学②中医药网络药理学③生物信息学④生物医药大数据</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模式识别与智能系统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鲁继文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视觉大模型方法研究</w:t>
            </w:r>
          </w:p>
        </w:tc>
      </w:tr>
      <w:tr>
        <w:tblPrEx>
          <w:tblCellMar>
            <w:top w:w="0" w:type="dxa"/>
            <w:left w:w="108" w:type="dxa"/>
            <w:bottom w:w="0" w:type="dxa"/>
            <w:right w:w="108" w:type="dxa"/>
          </w:tblCellMar>
        </w:tblPrEx>
        <w:trPr>
          <w:trHeight w:val="72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模式识别与智能系统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陆文凯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①基于人工智能的多元信息相容性表达研究（应用地球物理）②便携式智能超声肝癌筛查技术</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王凌</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面向车间能效调度的增强智能优化理论与方法</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游科友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①国家自然科学基金委杰青项目:无人系统的高效控制理论与应用 ②科技创新2030--“新一代人工智能”重大项目:2. 硬件资源受限下的高效智能控制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系统工程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"https://kyxxglxt.tsinghua.edu.cn/business/vprojectAction!to_view.action?entity.id=26ef84cd89b4ce1d0189d413f7b54db2&amp;isPersonalCenter=false&amp;ck=MCVP1JRGCBMXI6Y3C576GN08O37KBL9F&amp;ck=MCVP1JRGCBMXI6Y3C576GN08O37KBL9F" \t "_blank" \o "项目查看"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0"/>
                <w:sz w:val="20"/>
                <w:highlight w:val="none"/>
              </w:rPr>
              <w:t>智能物流技术在复杂道路环境下的安全性测试及可行性研究</w:t>
            </w:r>
            <w:r>
              <w:rPr>
                <w:rFonts w:hint="default" w:ascii="Times New Roman" w:hAnsi="Times New Roman" w:eastAsia="仿宋_GB2312" w:cs="Times New Roman"/>
                <w:kern w:val="0"/>
                <w:sz w:val="20"/>
                <w:highlight w:val="none"/>
              </w:rPr>
              <w:fldChar w:fldCharType="end"/>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系统工程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赵千川</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智能技术试验验证与评估</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检测技术与自动化装置</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郑小平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国家重点研发计划课题：磁探仪工作样机研制。</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自动化系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控制理论与控制工程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控制科学与控制工程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周彤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①国家自然科学基金委重大科研仪器研制项目: 半导体硅单晶生长数字孪生与品质管控系统②国家自然科学基金委面上项目: 大规模网络化动态系统结构/参数的递阶估计。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翟季冬</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高性能计算、编程模型、编译优化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胡晓林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物理世界深度学习对抗攻击与防御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黄民烈</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①对话系统②大模型</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刘永进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计算机图形学与情感计算</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陆游游</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高性能并行存储系统基础理论与方法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任炬</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①边缘智能计算系统②无线感知与无线通信系统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王宏宁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①机器学习②信息检索数据挖掘</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普适计算教育部重点实验室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兴军亮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①视觉态势感知与博弈决策</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② 面向的人机交互算法研究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许斌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①面向基础教育的知识推理研究② 知识图谱构建关键技术研究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计算机软件与理论</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喻文健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①集成电路设计自动化算法与软件②面向大数据分析的数值计算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081201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①互联网和云安全②人工智能安全</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计算机系统结构</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杨家海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十四五重点研发计划项目，互联网基础设施关键信息感知、分析、服务与示范验证；十四五重点研发计划课题，抗网络扫描探测与识别技术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信息国家研究中心</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计算机应用技术</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计算机科学与技术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国家重点学科，国家研究中心</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赵思成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国家自然科学基金优秀青年科学基金项目（海外）《多媒体分析与情感计算》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建筑技术科学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林波荣</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①绿色建筑环境营造与节能②高能效智能建筑环境营造原理与性能化设计新方法</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建筑技术科学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张昕</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智慧人因照明</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286</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供热、供燃气、通风及空调工程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燕达</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十三五国家重点研发计划“建筑全性能仿真平台内核开发”</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287</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岩土工程</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081401</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胡黎明</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软土地基处理②污染场地原位修复③地热资源开发④岩土工程数字孪生</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岩土工程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介玉新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①超大城市深层地下空间地质环境效应多场互馈机制及评估理论②堤防溃口快速智能感知装备与实时评估技术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岩土工程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①岩土地震工程②土的本构关系③土的细观组构</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班慧勇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高性能钢结构</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防灾减灾工程及防护工程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w:t>
            </w:r>
            <w:r>
              <w:rPr>
                <w:rFonts w:hint="default" w:ascii="Times New Roman" w:hAnsi="Times New Roman" w:eastAsia="仿宋_GB2312" w:cs="Times New Roman"/>
                <w:color w:val="000000"/>
                <w:kern w:val="0"/>
                <w:sz w:val="20"/>
                <w:szCs w:val="20"/>
                <w:highlight w:val="none"/>
              </w:rPr>
              <w:t>81405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国家“双一流”建设学科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纪晓东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①抗震韧性建筑②基于计算机视觉的震损评价</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面向安全韧性的跨系统跨维度城市基础设施系统规划理论与方法研究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本学科拥有 “土木工程安全与耐久教育部重点实验室”等平台支撑，具备开展高水平科学研究的基础条件。实验室拥有大型多功能试验加载装置、数据采集装置，高性能计算平台等，可支撑各类研究需求</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林佳瑞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①建筑业大模型及其应用 ②工地数字孪生与智能巡检 ③人机协同建造过程仿真优化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防灾减灾工程及防护工程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陆新征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建筑（群）数字孪生模型推演与虚实交互关键技术研究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施刚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钢结构和玻璃幕墙</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王法承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海工结构与智能作业</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杨军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①应木塔典型斗栱力学分析②微波破岩试验和模拟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方红卫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数值模拟技术在生态河流动力学中的应用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299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金峰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堆石混凝土研究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雷慧闽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①黄河流域水循环规律与水土过程耦合效应②节水控盐产能提升技术集成与模式转配及效能测试优化仿真系统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林鹏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智能建造理论与实践</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刘晓丽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①岩石力学与地下工程中的多物理场耦合效应②雅鲁藏布江水电开发关键技术问题③岩土与地下工程的智能建造</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刘耀儒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①水工隧洞智能建造②岩质边坡长期安全性分析及预测预警</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304</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龙笛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西南径流重大研究计划</w:t>
            </w:r>
          </w:p>
        </w:tc>
      </w:tr>
      <w:tr>
        <w:tblPrEx>
          <w:tblCellMar>
            <w:top w:w="0" w:type="dxa"/>
            <w:left w:w="108" w:type="dxa"/>
            <w:bottom w:w="0" w:type="dxa"/>
            <w:right w:w="108" w:type="dxa"/>
          </w:tblCellMar>
        </w:tblPrEx>
        <w:trPr>
          <w:trHeight w:val="48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305</w:t>
            </w: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马宏博</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黄河下游悬河治理</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港口、海岸及近海工程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牛小静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极端环境下海上风电结构安全关键问题研究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水工结构工程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潘坚文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①混凝土坝抗震②水工结构运行安全智能监控</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裘钧</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①青藏高原空中水资源及陆气相互作用②青藏高原河流微生物群落分析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尚松浩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干旱区水-农业-生态关系与节水潜力</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孙健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①河流地貌演变数值模拟②生态水动力学研究③城市暴雨内涝模拟预报</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田富强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山洪灾害信号早期识别与准确预警</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水文学及水资源</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魏加华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①黄河上游水资源演变对水风光储多能互补影响；②黄河上游径流年际调蓄与智慧调度关键技术研究与应用</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油气井工程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吴必胜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①非常规能源（页岩油气、天然气水合物）开发 ② 海洋岩土工程（土体-基础-平台相互作用） ③CO2封存利用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徐梦珍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①青藏高原河流演变与生态②国家水网水生生物污损及防治</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水力学及河流动力学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朱振铎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①海绵城市与流域水环境②典型城市防洪排涝系统效能评价及关键因子识别</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工业催化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TangJunwang</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①多相催化材料，②光热催化，③微波催化④塑料循环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生物化工、代谢工程、合成生物学、天然产物生物合成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戈钧</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生物化工、生物催化、酶工程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韩明汉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绿色催化与反应工程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胡山鹰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生态工业</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合成生物学与代谢工程、生物催化与酶工程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刘德华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生物化工、精细化工</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卢滇楠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分子模拟、纳米流动、酶催化理论、仿酶催化、土壤生物修复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骆广生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高效传质与分离过程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骞伟中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碳纳米管复合材料、复合材料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邱彤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过程系统工程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汤志刚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CO2捕集、工业污染物处理工艺与装备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唐城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①电解水制氢催化材料 ②电催化工程反应器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王保国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可再生能源制氢、全钒液流储能电池、能源膜材料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王海辉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膜分离、膜催化、电催化、能源材料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王凯</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电化学有机合成，流动化学，微化工智能化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王铁峰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清洁能源化工、非均相催化、多相流反应器、计算流体力学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王亭杰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颗粒工程学</w:t>
            </w:r>
          </w:p>
        </w:tc>
      </w:tr>
      <w:tr>
        <w:tblPrEx>
          <w:tblCellMar>
            <w:top w:w="0" w:type="dxa"/>
            <w:left w:w="108" w:type="dxa"/>
            <w:bottom w:w="0" w:type="dxa"/>
            <w:right w:w="108" w:type="dxa"/>
          </w:tblCellMar>
        </w:tblPrEx>
        <w:trPr>
          <w:trHeight w:val="101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王笑楠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①未来智能无人实验室②智慧碳中和系统</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王玉军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①膜分离及膜反应分离一体化技术②高效分离材料制备</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王运东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过程强化与化工计算流体力学</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魏飞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碳纳米管复合材料、复合材料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向兰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纳米/晶须材料的可控制备技术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徐建鸿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多相微流控技术、微反应</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颜彬航</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多相催化、原位表征、多相反应工程、催化机理及反应器理论计算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生物化工</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于慧敏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①合成生物学②先进生物制造③工业生物催化④生物/纳米耦合技术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于养信</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能源环境纳米材料、热力学理论预测能源材料性质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袁志宏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复杂制造环境下流程工业智能优化决策与控制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张翀</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代谢工程、合成生物学、生物技术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张吉松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流动化学，微反应器内气液固反应</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能源材料、锂电池、电催化</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张如范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碳纳米管，电致变色材料，电催化，功能材料</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赵劲松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过程系统工程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赵雪冰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生物质化学工程、生物能源生产技术、直接生物质燃料电池</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化学工程系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化学工程与技术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0817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朱兵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化工及能源技术经济、循环经济理论及应用、过程系统工程</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水利水电工程系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地质工程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081803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地质资源与地质工程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0818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全国学科评估A+和双一流学科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徐文杰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①复杂地质灾害链生动力学；②水动力诱发滑坡、泥石流灾害及灾害动力学过程分析方法；③地质灾害数字孪生</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交通运输规划与管理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082303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交通运输工程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李瑞敏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①交通系统智能化管控②智慧出行系统 </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航天航空学院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航空宇航推进理论与工程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08250</w:t>
            </w:r>
            <w:r>
              <w:rPr>
                <w:rFonts w:hint="default" w:ascii="Times New Roman" w:hAnsi="Times New Roman" w:eastAsia="仿宋_GB2312" w:cs="Times New Roman"/>
                <w:color w:val="000000"/>
                <w:kern w:val="0"/>
                <w:sz w:val="20"/>
                <w:szCs w:val="20"/>
                <w:highlight w:val="none"/>
              </w:rPr>
              <w:t>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航空宇航科学与技术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航研究中心</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工程物理系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核技术及应用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核科学与技术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0827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曾鸣</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①空间伽马射线微纳卫星载荷探测器研究②LHCb实验量能器与径迹探测器电子学研究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工程物理系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核技术及应用</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082703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核科学与技术</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0827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教育部重点实验室</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肖永顺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①射线透视成像检测②康普顿相机三维精确成像</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地学系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蔡闻佳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①考虑健康协同效益的碳中和路线图设计②碳中和的多维影响评估  气候变化健康风险的适应</w:t>
            </w:r>
          </w:p>
        </w:tc>
      </w:tr>
      <w:tr>
        <w:tblPrEx>
          <w:tblCellMar>
            <w:top w:w="0" w:type="dxa"/>
            <w:left w:w="108" w:type="dxa"/>
            <w:bottom w:w="0" w:type="dxa"/>
            <w:right w:w="108" w:type="dxa"/>
          </w:tblCellMar>
        </w:tblPrEx>
        <w:trPr>
          <w:trHeight w:val="19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曾现来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 2023年8月：教育部2022年度“长江学者奖励计划”青年学者项目</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②黄河流域工业固废环境效应与调控目标研究（2022.4-2024.3），黄河流域生态保护和高质量发展联合研究</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③ 典型战略性资源可持续供给路径研究（2020.11-2024.10），国家重点研发计划固废资源化重点专项</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城市污水资源化利用关键技术研发与应用示范</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贾海峰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①海绵城市建设中的城市降雨径流控制技术②河流修复理论与技术③环境模拟模型技术及应用</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大气污染物与温室气体协同控制国家工程研究中心</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李俊华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建材行业烟气多污染物短流程高效协同治理技术及示范</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梁鹏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①污水资源化②典型工业园污水近零排放技术与示范</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 ①交通源排放与大气环境效应②飞机近地面尾气动态模拟、大气环境影响与减排研究③运输过程排放靶向监管技术与调控研究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王灿*</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①碳中和路径预测研究②减污降碳协同增效规划研究（*）③绿色金融与气候投融资</w:t>
            </w:r>
          </w:p>
        </w:tc>
      </w:tr>
      <w:tr>
        <w:tblPrEx>
          <w:tblCellMar>
            <w:top w:w="0" w:type="dxa"/>
            <w:left w:w="108" w:type="dxa"/>
            <w:bottom w:w="0" w:type="dxa"/>
            <w:right w:w="108" w:type="dxa"/>
          </w:tblCellMar>
        </w:tblPrEx>
        <w:trPr>
          <w:trHeight w:val="16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王书肖</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①国家自然科学基金委大气霾化学基础科学中心；</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②国家重点研发计划项目面向减污降碳协同增效的四大结构调整技术研究；</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③基于多源数据融合的大气复合污染溯源与管控决策支持技术研究</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温宗国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①城市多源固废工业炉窑协同处置及工艺；②有机固废低温绝氧热解气化制氢工艺集成；③粤港澳大湾区多源固废代谢机制及减污降碳路径优化研究；④重点行业碳达峰、碳中和路径优化及应用研究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再生水生态利用的环境效益与低碳耦合机制(国家自然科学基金重大项目课题）</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张彭义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①催化臭氧氧化气相中挥发性有机物；②超级活性炭制备及性能研究；③室温催化分解臭氧；④室温催化分解空气中的醛类物质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医学院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生物医学工程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生物医学工程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宋小磊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①医学图像处理②活体磁共振分子影像及CEST量化方法研究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369</w:t>
            </w:r>
          </w:p>
        </w:tc>
        <w:tc>
          <w:tcPr>
            <w:tcW w:w="121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医学院</w:t>
            </w:r>
          </w:p>
        </w:tc>
        <w:tc>
          <w:tcPr>
            <w:tcW w:w="105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生物医学工程</w:t>
            </w:r>
          </w:p>
        </w:tc>
        <w:tc>
          <w:tcPr>
            <w:tcW w:w="85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083100</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生物医学工程</w:t>
            </w:r>
          </w:p>
        </w:tc>
        <w:tc>
          <w:tcPr>
            <w:tcW w:w="8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0831</w:t>
            </w:r>
          </w:p>
        </w:tc>
        <w:tc>
          <w:tcPr>
            <w:tcW w:w="127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田启源</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人脑结构及功能磁共振人工智能成像与图像分析</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①中国城镇历史文化街区谱系与价值研究②文化导向城市更新演进特征、动力机制及空间响应</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①城市更新背景下重大项目规建管协同路径研究②减量提质背景下北京二绿地区城镇产业转型的用地配置研究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①公共空间平灾结合②历史文化街区空间韧性③城市更新与城市体检等研究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城乡规划学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周政旭</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传统村落与民族村寨保护更新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软件学院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①多媒体检索②立体视觉③人工智能</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软件学院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刘玉身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三维计算机视觉与重建</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软件学院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软件工程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0835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徐枫</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①计算机图形学②三维视觉信息处理③大数据医疗</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网络空间安全</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①互联网和云安全②人工智能安全</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网络空间安全</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0839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诸葛建伟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①漏洞挖掘检测②大语言模型代码生成③物联网安全与智能网联汽车安全</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建筑学院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风景园林</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086200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风景园林</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0862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邬东璠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 全媒体环境下文化景观遗产的公众认知研究</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 xml:space="preserve"> ② 大运河文化遗产阐释与展示的策略及方法研究</w:t>
            </w:r>
            <w:r>
              <w:rPr>
                <w:rFonts w:hint="default" w:ascii="Times New Roman" w:hAnsi="Times New Roman" w:eastAsia="仿宋_GB2312" w:cs="Times New Roman"/>
                <w:kern w:val="0"/>
                <w:sz w:val="20"/>
                <w:szCs w:val="20"/>
                <w:highlight w:val="none"/>
              </w:rPr>
              <w:br w:type="textWrapping"/>
            </w:r>
            <w:r>
              <w:rPr>
                <w:rFonts w:hint="default" w:ascii="Times New Roman" w:hAnsi="Times New Roman" w:eastAsia="仿宋_GB2312" w:cs="Times New Roman"/>
                <w:kern w:val="0"/>
                <w:sz w:val="20"/>
                <w:szCs w:val="20"/>
                <w:highlight w:val="none"/>
              </w:rPr>
              <w:t>③中国-印尼农耕文化景观对比研究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免疫学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100102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基础医学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针对自身免疫疾病精准诊疗的多组学研究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临床检验诊断学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100208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临床医学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针对癌症精准诊疗的多组学研究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生命学院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肿瘤学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100214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临床医学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1002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针对癌症精准诊疗的多组学研究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卫健学院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营养与食品卫生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100402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公共卫生与预防医学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①生命早期营养对甲基化的影响②“一带一路”国家儿童青少年的营养促进③老龄化人群营养流行病学研究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药物化学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刘刚</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人类</w:t>
            </w:r>
            <w:r>
              <w:rPr>
                <w:rFonts w:hint="default" w:ascii="Times New Roman" w:hAnsi="Times New Roman" w:eastAsia="仿宋_GB2312" w:cs="Times New Roman"/>
                <w:color w:val="000000"/>
                <w:kern w:val="0"/>
                <w:sz w:val="20"/>
                <w:szCs w:val="20"/>
                <w:highlight w:val="none"/>
              </w:rPr>
              <w:t>ACE2变构抑制剂的成药性及其抗广谱冠状病毒感染的机制研究</w:t>
            </w:r>
          </w:p>
        </w:tc>
      </w:tr>
      <w:tr>
        <w:tblPrEx>
          <w:tblCellMar>
            <w:top w:w="0" w:type="dxa"/>
            <w:left w:w="108" w:type="dxa"/>
            <w:bottom w:w="0" w:type="dxa"/>
            <w:right w:w="108" w:type="dxa"/>
          </w:tblCellMar>
        </w:tblPrEx>
        <w:trPr>
          <w:trHeight w:val="96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药物化学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尹航</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①疟原虫跨膜葡萄糖转运蛋白PfHT1的动态调控和化学干预②药物前体分子的活性测试③外泌体基础与应用研究④靶向天然免疫通路的新药开发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药物化学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张永辉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①疫苗及疫苗佐剂；②免疫识别与调控；③细胞治疗；④抗感染药物</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工业工程系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王凯波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数字化质量管理</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工业工程系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①人因工程基础研究 ②智能人机交互与应用研究③驾驶安全与智能座舱研究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陈国青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基于大数据的商务智能与模式创新研究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大数据环境下的运营策略优化与协调研究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黄京华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大数据环境下的商务行为机理研究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林志杰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共享经济</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卫强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基于企业内外部用户生成内容匹配和可解释深度学习技术的客户满意度分析</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肖勇波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面向供应链韧性与安全的行为决策理论与方法</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土木系</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工程管理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管理科学与工程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双一流学科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邓晓梅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数字经济下建筑市场基础信任建构研究 ②新营造体系研究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陈国权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复杂变化环境下企业组织管理整体系统及其学习变革研究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陈劲</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建设世界科技创新强国的战略比较与实现路径研究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高旭东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面向高水平科技自立自强的科技创新战略 </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399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胡左浩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中国跨国企业品牌国际化发展模式及动态演进规律研究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李纪珍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xml:space="preserve"> 新时代提升国家创新体系整体效能研究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孙亚程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营销模型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会计学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谢德仁</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上市公司控股股东股权质押的经济后果研究：利益相关者视角</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谢伟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中国企业海外研发中心管理的三个关键问题研究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技术经济及管理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杨德林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“互联网+”促进制造业创新驱动发展及其政策研究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经管学院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企业管理（含：财务管理、市场营销、人力资源管理）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郑晓明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组织中员工正念：概念、测量、前因与后效的多层次追踪研究</w:t>
            </w:r>
          </w:p>
        </w:tc>
      </w:tr>
      <w:tr>
        <w:tblPrEx>
          <w:tblCellMar>
            <w:top w:w="0" w:type="dxa"/>
            <w:left w:w="108" w:type="dxa"/>
            <w:bottom w:w="0" w:type="dxa"/>
            <w:right w:w="108" w:type="dxa"/>
          </w:tblCellMar>
        </w:tblPrEx>
        <w:trPr>
          <w:trHeight w:val="3314"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社科学院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技术经济与管理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工商管理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戎珂</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①党的十八大以来推动数字经济高质量发展的实践和经验研究②数字经济下创新生态系统的治理机制研究③数据价值流通模式的演化路径、发展逻辑与未来趋势研究</w:t>
            </w:r>
          </w:p>
        </w:tc>
      </w:tr>
      <w:tr>
        <w:tblPrEx>
          <w:tblCellMar>
            <w:top w:w="0" w:type="dxa"/>
            <w:left w:w="108" w:type="dxa"/>
            <w:bottom w:w="0" w:type="dxa"/>
            <w:right w:w="108" w:type="dxa"/>
          </w:tblCellMar>
        </w:tblPrEx>
        <w:trPr>
          <w:trHeight w:val="1067"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邓国胜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全球治理视野下社会组织走出去研究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行政管理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博士后科研流动站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吕孝礼</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重大突发事件协同研判与决策机制研究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409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公共政策</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120407</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朱俊明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公共政策分析、环境治理、产业生态学方向</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朱旭峰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公共治理体系方向</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教育研究院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教育经济与管理</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公共管理</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1204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博士点、博士后流动站</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李锋亮</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 高水平研究生教育与国家创新发展研究② 对全国研究生培养全过程的追踪调查</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陈岸瑛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①艺术理论研究②非物质文化遗产研究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郭秋惠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新中国国家形象设计研究（1949-1979）</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李静杰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中国古代物质文化与宗教物质文化</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邱才桢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①中国书画史与书画鉴定学研究②教育部哲学社会科学研究重大课题攻关项目子课题《黄河文明与碑刻图像整理与研究》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xml:space="preserve">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王小茉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①法国装饰艺术研究②近代中西设计思想交流研究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艺术学理论</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博士学位授予点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①中西现当代美术研究②文艺复兴美术研究③西方美术史</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包林</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当代艺术研究</w:t>
            </w:r>
          </w:p>
        </w:tc>
      </w:tr>
      <w:tr>
        <w:tblPrEx>
          <w:tblCellMar>
            <w:top w:w="0" w:type="dxa"/>
            <w:left w:w="108" w:type="dxa"/>
            <w:bottom w:w="0" w:type="dxa"/>
            <w:right w:w="108" w:type="dxa"/>
          </w:tblCellMar>
        </w:tblPrEx>
        <w:trPr>
          <w:trHeight w:val="70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419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曾成钢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中国传统雕塑现代语言转化研究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  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雕塑空间和造型研究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中国画创作与研究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代大权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版画创作与研究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董书兵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w:t>
            </w:r>
            <w:r>
              <w:rPr>
                <w:rFonts w:hint="default" w:ascii="Times New Roman" w:hAnsi="Times New Roman" w:eastAsia="仿宋_GB2312" w:cs="Times New Roman"/>
                <w:kern w:val="0"/>
                <w:sz w:val="20"/>
                <w:szCs w:val="20"/>
                <w:highlight w:val="none"/>
              </w:rPr>
              <w:t>中国古代雕塑造型研究②环境雕塑研究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冯崇利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中国传统造型语言研究与转化</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付斌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当代版画创作与版画教育</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顾黎明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绘画的当代性与本土性研究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姜祖青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壁画与综合材料绘画</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中国花鸟画形式语言研究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429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  鹤</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①观念具象雕塑研究②雕塑本体语言研究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李睦</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油画创作与研究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李天元</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当代艺术研究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马文甲</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①社会美育研究②展览策划③跨媒介雕塑创作</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主题性美术创作研究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王轶男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纪念性雕塑创作研究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魏二强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①具象人体研究（雕塑、素描）②雕塑与陶艺结合研究③创作研究</w:t>
            </w:r>
          </w:p>
        </w:tc>
      </w:tr>
      <w:tr>
        <w:tblPrEx>
          <w:tblCellMar>
            <w:top w:w="0" w:type="dxa"/>
            <w:left w:w="108" w:type="dxa"/>
            <w:bottom w:w="0" w:type="dxa"/>
            <w:right w:w="108" w:type="dxa"/>
          </w:tblCellMar>
        </w:tblPrEx>
        <w:trPr>
          <w:trHeight w:val="1066"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省、部级重点学科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许正龙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中国雕塑造型研究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叶健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中国重彩画语言研究与表现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白明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现代陶艺理论与实践</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439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国家社科基金艺术学重大项目《中国共产党百年重大题材展示设计研究》第四子课题（展示设计视觉语言特征）</w:t>
            </w:r>
          </w:p>
        </w:tc>
      </w:tr>
      <w:tr>
        <w:tblPrEx>
          <w:tblCellMar>
            <w:top w:w="0" w:type="dxa"/>
            <w:left w:w="108" w:type="dxa"/>
            <w:bottom w:w="0" w:type="dxa"/>
            <w:right w:w="108" w:type="dxa"/>
          </w:tblCellMar>
        </w:tblPrEx>
        <w:trPr>
          <w:trHeight w:val="283"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陈楠</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古文字艺术设计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程向军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漆艺术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杜异</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①环境行为与心理学基础理论研究②光环境设计理论研究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方晓风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统园林造园理论与技术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关东海</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玻璃艺术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何洁</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①视觉传达设计研究②设计教育研究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黄艳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环境文化生态发展研究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贾玺增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中国传统服饰史论研究与创新设计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蒋红斌</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中国工业设计发展机制考察与研究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449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李朝阳</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乡村环境设计研究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玻璃艺术</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李飒</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①室内设计及陈设设计研究②老龄人群居住环境问题研究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中国传统服饰文化与传统手工艺研究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李迎军</w:t>
            </w:r>
          </w:p>
        </w:tc>
        <w:tc>
          <w:tcPr>
            <w:tcW w:w="2268"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传统服饰文化传承研究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刘强</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①出行体验设计研究②人工智能设计研究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刘铁军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中国家具传承与创新研究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刘新</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可持续设计研究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鲁晓波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智慧场景创新设计</w:t>
            </w:r>
          </w:p>
        </w:tc>
      </w:tr>
      <w:tr>
        <w:tblPrEx>
          <w:tblCellMar>
            <w:top w:w="0" w:type="dxa"/>
            <w:left w:w="108" w:type="dxa"/>
            <w:bottom w:w="0" w:type="dxa"/>
            <w:right w:w="108" w:type="dxa"/>
          </w:tblCellMar>
        </w:tblPrEx>
        <w:trPr>
          <w:trHeight w:val="501"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马泉</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视觉传达与新领域研究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459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马赛</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传统文化的当代性设计应用研究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潘妙</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首饰艺术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邱松</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设计形态学研究与应用</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宋立民</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室内设计理论与实践研究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涂山</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滨水环境创新设计</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王国胜</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国家重点研发计划</w:t>
            </w:r>
            <w:r>
              <w:rPr>
                <w:rFonts w:hint="default" w:ascii="Times New Roman" w:hAnsi="Times New Roman" w:eastAsia="仿宋_GB2312" w:cs="Times New Roman"/>
                <w:color w:val="000000"/>
                <w:kern w:val="0"/>
                <w:sz w:val="20"/>
                <w:szCs w:val="20"/>
                <w:highlight w:val="none"/>
              </w:rPr>
              <w:br w:type="textWrapping"/>
            </w:r>
            <w:r>
              <w:rPr>
                <w:rFonts w:hint="default" w:ascii="Times New Roman" w:hAnsi="Times New Roman" w:eastAsia="仿宋_GB2312" w:cs="Times New Roman"/>
                <w:color w:val="000000"/>
                <w:kern w:val="0"/>
                <w:sz w:val="20"/>
                <w:szCs w:val="20"/>
                <w:highlight w:val="none"/>
              </w:rPr>
              <w:t>社区服务适老化工效学技术要求与标准研究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王红卫</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王晓昕</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金属艺术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艺术学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吴昊宇</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陶瓷艺术与设计在空间美学的融合研究</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吴琼</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①面向中华优秀传统文化的数字化体验设计研究②人工智能创新设计研究③数实融合场景体验设计研究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469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肖文陵</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民族服饰文化当代性研究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徐迎庆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学科交叉与设计创新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杨冬江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设计学科与专业学位教育发展路径研究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杨佩璋</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漆艺术</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于历战</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家具设计与室内研究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视觉传达设计</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130502</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原博</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①传统工艺与设计创新②手工纸设计研究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岳嵩</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综合材料</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臧迎春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服装与服饰设计研究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130550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张红娟</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传统染织工艺与创新设计研究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张烈</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国家文化数字化发展现状及策略研究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479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张月</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环境艺术设计创新的技术因素</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设计艺术学</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050404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赵超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工业设计学科发展前沿研究：健康设计研究与产品服务创新</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1"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130500</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设计学</w:t>
            </w:r>
          </w:p>
        </w:tc>
        <w:tc>
          <w:tcPr>
            <w:tcW w:w="85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1305</w:t>
            </w:r>
          </w:p>
        </w:tc>
        <w:tc>
          <w:tcPr>
            <w:tcW w:w="12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赵健</w:t>
            </w:r>
          </w:p>
        </w:tc>
        <w:tc>
          <w:tcPr>
            <w:tcW w:w="226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视觉传达设计研究</w:t>
            </w:r>
          </w:p>
        </w:tc>
      </w:tr>
      <w:tr>
        <w:tblPrEx>
          <w:tblCellMar>
            <w:top w:w="0" w:type="dxa"/>
            <w:left w:w="108" w:type="dxa"/>
            <w:bottom w:w="0" w:type="dxa"/>
            <w:right w:w="108" w:type="dxa"/>
          </w:tblCellMar>
        </w:tblPrEx>
        <w:trPr>
          <w:trHeight w:val="285"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美术学院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环境设计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设计学</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1305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周浩明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可持续人居环境设计</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集成电路学院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集成电路科学与工程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140100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集成电路科学与工程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1401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国家重点学科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刘雷波</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①软件定义芯片架构设计与编译方法②后量子密码与隐私增强密码芯片设计③轻量级密码芯片与硬件可信根设计</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JIJOHNS</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气候变化、建筑环境、污染对健康的影响</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485</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底骞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基于真实世界医疗数据的公共卫生垂直大模型</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486</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黄存瑞</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气候变化与环境健康</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487</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李志徽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全球健康与大数据模型</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488</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梁万年</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①卫生政策与卫生管理②新发突发传染病防控研究③慢病管理与防控研究④全科医学与社区卫生服务</w:t>
            </w:r>
          </w:p>
        </w:tc>
      </w:tr>
      <w:tr>
        <w:tblPrEx>
          <w:tblCellMar>
            <w:top w:w="0" w:type="dxa"/>
            <w:left w:w="108" w:type="dxa"/>
            <w:bottom w:w="0" w:type="dxa"/>
            <w:right w:w="108" w:type="dxa"/>
          </w:tblCellMar>
        </w:tblPrEx>
        <w:trPr>
          <w:trHeight w:val="72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489</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罗思童</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①互联网购买HIV暴露前预防药物人群服药依从性监测及干预研究②促进医防协同医防融合机制研究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490</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唐昆</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全球健康与治理机制、策略、实践的实证性研究</w:t>
            </w:r>
          </w:p>
        </w:tc>
      </w:tr>
      <w:tr>
        <w:tblPrEx>
          <w:tblCellMar>
            <w:top w:w="0" w:type="dxa"/>
            <w:left w:w="108" w:type="dxa"/>
            <w:bottom w:w="0" w:type="dxa"/>
            <w:right w:w="108" w:type="dxa"/>
          </w:tblCellMar>
        </w:tblPrEx>
        <w:trPr>
          <w:trHeight w:val="155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491</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许磊</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①全健康的应用与理论研究②传染病建模研究</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492</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张敏</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生物统计与健康大数据</w:t>
            </w:r>
          </w:p>
        </w:tc>
      </w:tr>
      <w:tr>
        <w:tblPrEx>
          <w:tblCellMar>
            <w:top w:w="0" w:type="dxa"/>
            <w:left w:w="108" w:type="dxa"/>
            <w:bottom w:w="0" w:type="dxa"/>
            <w:right w:w="108" w:type="dxa"/>
          </w:tblCellMar>
        </w:tblPrEx>
        <w:trPr>
          <w:trHeight w:val="48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493</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万科公共卫生与健康学院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公共卫生与健康</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9903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博士点学科</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朱纪明</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①儿童疾病防控的经济学优化研究②卫生政策纵向研究③世卫人力路线图研究</w:t>
            </w:r>
          </w:p>
        </w:tc>
      </w:tr>
      <w:tr>
        <w:tblPrEx>
          <w:tblCellMar>
            <w:top w:w="0" w:type="dxa"/>
            <w:left w:w="108" w:type="dxa"/>
            <w:bottom w:w="0" w:type="dxa"/>
            <w:right w:w="108" w:type="dxa"/>
          </w:tblCellMar>
        </w:tblPrEx>
        <w:trPr>
          <w:trHeight w:val="1200" w:hRule="atLeast"/>
        </w:trPr>
        <w:tc>
          <w:tcPr>
            <w:tcW w:w="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494</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医学院</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肿瘤学/流行病与卫生统计学/药剂学/社会医学与卫生事业管理/护理学/生物医学工程</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100214/100401/100702/120402/101100/083100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临床医学/公共卫生与预防医学/药学/公共管理/护理学/生物医学工程</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1002/1004/1007/1204/1011/0831</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国家医疗服务数据中心/博士后流动站/国务院批准的医疗管理硕士专业学位（MHA）授权点</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张宗久</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default" w:ascii="Times New Roman" w:hAnsi="Times New Roman" w:eastAsia="仿宋_GB2312" w:cs="Times New Roman"/>
                <w:kern w:val="0"/>
                <w:sz w:val="20"/>
                <w:szCs w:val="20"/>
                <w:highlight w:val="none"/>
              </w:rPr>
            </w:pPr>
            <w:r>
              <w:rPr>
                <w:rFonts w:hint="default" w:ascii="Times New Roman" w:hAnsi="Times New Roman" w:eastAsia="仿宋_GB2312" w:cs="Times New Roman"/>
                <w:kern w:val="0"/>
                <w:sz w:val="20"/>
                <w:szCs w:val="20"/>
                <w:highlight w:val="none"/>
              </w:rPr>
              <w:t>①肿瘤诊疗能力建设②精准医学与产业发展研究③公立医院运行管理</w:t>
            </w:r>
          </w:p>
        </w:tc>
      </w:tr>
    </w:tbl>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highlight w:val="none"/>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highlight w:val="none"/>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0"/>
          <w:szCs w:val="30"/>
          <w:highlight w:val="none"/>
        </w:rPr>
      </w:pPr>
    </w:p>
    <w:p>
      <w:pPr>
        <w:keepNext w:val="0"/>
        <w:keepLines w:val="0"/>
        <w:pageBreakBefore w:val="0"/>
        <w:kinsoku/>
        <w:wordWrap/>
        <w:overflowPunct/>
        <w:topLinePunct w:val="0"/>
        <w:autoSpaceDE/>
        <w:autoSpaceDN/>
        <w:bidi w:val="0"/>
        <w:spacing w:line="240" w:lineRule="auto"/>
        <w:textAlignment w:val="auto"/>
        <w:rPr>
          <w:rFonts w:hint="eastAsia" w:ascii="黑体" w:hAnsi="黑体" w:eastAsia="黑体" w:cs="黑体"/>
          <w:b w:val="0"/>
          <w:bCs/>
          <w:sz w:val="30"/>
          <w:szCs w:val="30"/>
          <w:highlight w:val="none"/>
        </w:rPr>
      </w:pPr>
      <w:r>
        <w:rPr>
          <w:rFonts w:hint="eastAsia" w:ascii="黑体" w:hAnsi="黑体" w:eastAsia="黑体" w:cs="黑体"/>
          <w:b w:val="0"/>
          <w:bCs/>
          <w:sz w:val="30"/>
          <w:szCs w:val="30"/>
          <w:highlight w:val="none"/>
        </w:rPr>
        <w:br w:type="page"/>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附件2</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b/>
          <w:sz w:val="30"/>
          <w:szCs w:val="30"/>
          <w:highlight w:val="none"/>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申报清华大学访问学者信息表</w:t>
      </w:r>
    </w:p>
    <w:p>
      <w:pPr>
        <w:keepNext w:val="0"/>
        <w:keepLines w:val="0"/>
        <w:pageBreakBefore w:val="0"/>
        <w:kinsoku/>
        <w:wordWrap/>
        <w:overflowPunct/>
        <w:topLinePunct w:val="0"/>
        <w:autoSpaceDE/>
        <w:autoSpaceDN/>
        <w:bidi w:val="0"/>
        <w:spacing w:line="600" w:lineRule="exact"/>
        <w:textAlignment w:val="auto"/>
        <w:rPr>
          <w:rFonts w:hint="eastAsia" w:ascii="方正小标宋简体" w:hAnsi="方正小标宋简体" w:eastAsia="方正小标宋简体" w:cs="方正小标宋简体"/>
          <w:b w:val="0"/>
          <w:bCs w:val="0"/>
          <w:sz w:val="30"/>
          <w:szCs w:val="30"/>
          <w:highlight w:val="none"/>
        </w:rPr>
      </w:pPr>
    </w:p>
    <w:tbl>
      <w:tblPr>
        <w:tblStyle w:val="9"/>
        <w:tblW w:w="5241"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9"/>
        <w:gridCol w:w="1418"/>
        <w:gridCol w:w="1276"/>
        <w:gridCol w:w="786"/>
        <w:gridCol w:w="774"/>
        <w:gridCol w:w="754"/>
        <w:gridCol w:w="740"/>
        <w:gridCol w:w="1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73"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姓 名</w:t>
            </w:r>
          </w:p>
        </w:tc>
        <w:tc>
          <w:tcPr>
            <w:tcW w:w="794"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714"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性 别</w:t>
            </w:r>
          </w:p>
        </w:tc>
        <w:tc>
          <w:tcPr>
            <w:tcW w:w="873"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836"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出生年月</w:t>
            </w:r>
          </w:p>
        </w:tc>
        <w:tc>
          <w:tcPr>
            <w:tcW w:w="910"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73"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职 称</w:t>
            </w:r>
          </w:p>
        </w:tc>
        <w:tc>
          <w:tcPr>
            <w:tcW w:w="794"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714"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职 务</w:t>
            </w:r>
          </w:p>
        </w:tc>
        <w:tc>
          <w:tcPr>
            <w:tcW w:w="873"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836"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最高学历</w:t>
            </w:r>
          </w:p>
        </w:tc>
        <w:tc>
          <w:tcPr>
            <w:tcW w:w="910"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73"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联系电话</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（手机）</w:t>
            </w:r>
          </w:p>
        </w:tc>
        <w:tc>
          <w:tcPr>
            <w:tcW w:w="1508"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873"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身份证号</w:t>
            </w:r>
          </w:p>
        </w:tc>
        <w:tc>
          <w:tcPr>
            <w:tcW w:w="1746" w:type="pct"/>
            <w:gridSpan w:val="3"/>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73"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推荐单位</w:t>
            </w:r>
          </w:p>
        </w:tc>
        <w:tc>
          <w:tcPr>
            <w:tcW w:w="4127" w:type="pct"/>
            <w:gridSpan w:val="7"/>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73"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拟申请院</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系名称</w:t>
            </w:r>
          </w:p>
        </w:tc>
        <w:tc>
          <w:tcPr>
            <w:tcW w:w="1948" w:type="pct"/>
            <w:gridSpan w:val="3"/>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855"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学科专业</w:t>
            </w:r>
          </w:p>
        </w:tc>
        <w:tc>
          <w:tcPr>
            <w:tcW w:w="1324"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73" w:type="pct"/>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课题名称</w:t>
            </w:r>
          </w:p>
        </w:tc>
        <w:tc>
          <w:tcPr>
            <w:tcW w:w="1948" w:type="pct"/>
            <w:gridSpan w:val="3"/>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c>
          <w:tcPr>
            <w:tcW w:w="855"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导师姓名</w:t>
            </w:r>
          </w:p>
        </w:tc>
        <w:tc>
          <w:tcPr>
            <w:tcW w:w="1324" w:type="pct"/>
            <w:gridSpan w:val="2"/>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sz w:val="30"/>
                <w:szCs w:val="30"/>
                <w:highlight w:val="none"/>
              </w:rPr>
            </w:pPr>
          </w:p>
        </w:tc>
      </w:tr>
    </w:tbl>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b/>
          <w:sz w:val="30"/>
          <w:szCs w:val="30"/>
          <w:highlight w:val="none"/>
        </w:rPr>
      </w:pPr>
    </w:p>
    <w:p>
      <w:pPr>
        <w:ind w:left="0" w:leftChars="0" w:firstLine="0" w:firstLineChars="0"/>
        <w:rPr>
          <w:rFonts w:hint="eastAsia" w:eastAsia="仿宋_GB231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B5CB51-E7F7-491F-AEE8-29E8297AA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B5C242-5B90-4F07-A779-350A7588937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EE416961-3458-41B3-A7CE-BB4A4BDC1D63}"/>
  </w:font>
  <w:font w:name="仿宋_GB2312">
    <w:altName w:val="仿宋"/>
    <w:panose1 w:val="02010609030101010101"/>
    <w:charset w:val="86"/>
    <w:family w:val="modern"/>
    <w:pitch w:val="default"/>
    <w:sig w:usb0="00000000" w:usb1="00000000" w:usb2="00000000" w:usb3="00000000" w:csb0="00040000" w:csb1="00000000"/>
    <w:embedRegular r:id="rId4" w:fontKey="{E257FA10-A590-413B-98CA-65ADFA1B05C2}"/>
  </w:font>
  <w:font w:name="楷体_GB2312">
    <w:altName w:val="楷体"/>
    <w:panose1 w:val="02010609030101010101"/>
    <w:charset w:val="86"/>
    <w:family w:val="auto"/>
    <w:pitch w:val="default"/>
    <w:sig w:usb0="00000000" w:usb1="00000000" w:usb2="00000000" w:usb3="00000000" w:csb0="00040000" w:csb1="00000000"/>
    <w:embedRegular r:id="rId5" w:fontKey="{5FE5F147-029A-409C-9BD1-CF1B2C5A7D36}"/>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DB5B1"/>
    <w:multiLevelType w:val="singleLevel"/>
    <w:tmpl w:val="B11DB5B1"/>
    <w:lvl w:ilvl="0" w:tentative="0">
      <w:start w:val="2"/>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zhkMGE0MWNkOGQ2MGRkNmNiN2JkNGEwZjIzMWUifQ=="/>
  </w:docVars>
  <w:rsids>
    <w:rsidRoot w:val="1E480CC8"/>
    <w:rsid w:val="191B7F7E"/>
    <w:rsid w:val="1D505FE1"/>
    <w:rsid w:val="1E480CC8"/>
    <w:rsid w:val="1E6D7C45"/>
    <w:rsid w:val="1EF77150"/>
    <w:rsid w:val="46E738BB"/>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4">
    <w:name w:val="heading 4"/>
    <w:basedOn w:val="1"/>
    <w:next w:val="1"/>
    <w:autoRedefine/>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styleId="12">
    <w:name w:val="Hyperlink"/>
    <w:basedOn w:val="10"/>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2024-04-12T02:33:00Z</dcterms:created>
  <dc:creator>Yan</dc:creator>
  <cp:lastModifiedBy>Yan</cp:lastModifiedBy>
  <dcterms:modified xsi:type="dcterms:W3CDTF">2024-04-12T05:05:00Z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CC82DD1BB2BE47BDA7D768B9E4E314F0_11</vt:lpwstr>
  </property>
</Properties>
</file>