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600" w:lineRule="exact"/>
        <w:jc w:val="both"/>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附件1</w:t>
      </w:r>
    </w:p>
    <w:p>
      <w:pPr>
        <w:pStyle w:val="2"/>
        <w:adjustRightInd w:val="0"/>
        <w:spacing w:line="600" w:lineRule="exact"/>
        <w:rPr>
          <w:rFonts w:eastAsia="文星简小标宋" w:cs="宋体"/>
          <w:bCs/>
          <w:color w:val="000000" w:themeColor="text1"/>
          <w:kern w:val="0"/>
          <w:szCs w:val="44"/>
          <w14:textFill>
            <w14:solidFill>
              <w14:schemeClr w14:val="tx1"/>
            </w14:solidFill>
          </w14:textFill>
        </w:rPr>
      </w:pPr>
      <w:bookmarkStart w:id="0" w:name="_GoBack"/>
      <w:r>
        <w:rPr>
          <w:rFonts w:hint="eastAsia" w:eastAsia="文星简小标宋" w:cs="宋体"/>
          <w:bCs/>
          <w:color w:val="000000" w:themeColor="text1"/>
          <w:kern w:val="0"/>
          <w:szCs w:val="44"/>
          <w14:textFill>
            <w14:solidFill>
              <w14:schemeClr w14:val="tx1"/>
            </w14:solidFill>
          </w14:textFill>
        </w:rPr>
        <w:t>天津市高技能人才基地终期验收考核细则</w:t>
      </w:r>
      <w:bookmarkEnd w:id="0"/>
    </w:p>
    <w:p>
      <w:pPr>
        <w:pStyle w:val="2"/>
        <w:adjustRightInd w:val="0"/>
        <w:spacing w:line="600" w:lineRule="exact"/>
        <w:jc w:val="left"/>
        <w:rPr>
          <w:rFonts w:hint="eastAsia" w:eastAsia="仿宋_GB2312" w:cs="宋体"/>
          <w:color w:val="000000" w:themeColor="text1"/>
          <w:kern w:val="0"/>
          <w:sz w:val="24"/>
          <w:szCs w:val="24"/>
          <w14:textFill>
            <w14:solidFill>
              <w14:schemeClr w14:val="tx1"/>
            </w14:solidFill>
          </w14:textFill>
        </w:rPr>
      </w:pPr>
      <w:r>
        <w:rPr>
          <w:rFonts w:hint="eastAsia" w:eastAsia="仿宋_GB2312" w:cs="宋体"/>
          <w:color w:val="000000" w:themeColor="text1"/>
          <w:kern w:val="0"/>
          <w:sz w:val="24"/>
          <w:szCs w:val="24"/>
          <w14:textFill>
            <w14:solidFill>
              <w14:schemeClr w14:val="tx1"/>
            </w14:solidFill>
          </w14:textFill>
        </w:rPr>
        <w:t>建设项目实施单位：（加盖公章）</w:t>
      </w:r>
    </w:p>
    <w:tbl>
      <w:tblPr>
        <w:tblStyle w:val="7"/>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742"/>
        <w:gridCol w:w="492"/>
        <w:gridCol w:w="854"/>
        <w:gridCol w:w="702"/>
        <w:gridCol w:w="1657"/>
        <w:gridCol w:w="744"/>
        <w:gridCol w:w="1998"/>
        <w:gridCol w:w="1203"/>
        <w:gridCol w:w="917"/>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453" w:type="dxa"/>
            <w:noWrap/>
            <w:vAlign w:val="center"/>
          </w:tcPr>
          <w:p>
            <w:pPr>
              <w:widowControl/>
              <w:jc w:val="center"/>
              <w:rPr>
                <w:rFonts w:eastAsia="仿宋_GB2312" w:cs="宋体"/>
                <w:b/>
                <w:color w:val="000000" w:themeColor="text1"/>
                <w:kern w:val="0"/>
                <w:sz w:val="24"/>
                <w:szCs w:val="24"/>
                <w14:textFill>
                  <w14:solidFill>
                    <w14:schemeClr w14:val="tx1"/>
                  </w14:solidFill>
                </w14:textFill>
              </w:rPr>
            </w:pPr>
            <w:r>
              <w:rPr>
                <w:rFonts w:hint="eastAsia" w:eastAsia="仿宋_GB2312" w:cs="宋体"/>
                <w:b/>
                <w:color w:val="000000" w:themeColor="text1"/>
                <w:kern w:val="0"/>
                <w:sz w:val="24"/>
                <w:szCs w:val="24"/>
                <w14:textFill>
                  <w14:solidFill>
                    <w14:schemeClr w14:val="tx1"/>
                  </w14:solidFill>
                </w14:textFill>
              </w:rPr>
              <w:t>序号</w:t>
            </w:r>
          </w:p>
        </w:tc>
        <w:tc>
          <w:tcPr>
            <w:tcW w:w="742" w:type="dxa"/>
            <w:noWrap/>
            <w:vAlign w:val="center"/>
          </w:tcPr>
          <w:p>
            <w:pPr>
              <w:widowControl/>
              <w:jc w:val="center"/>
              <w:rPr>
                <w:rFonts w:eastAsia="仿宋_GB2312" w:cs="宋体"/>
                <w:b/>
                <w:color w:val="000000" w:themeColor="text1"/>
                <w:kern w:val="0"/>
                <w:sz w:val="24"/>
                <w:szCs w:val="24"/>
                <w14:textFill>
                  <w14:solidFill>
                    <w14:schemeClr w14:val="tx1"/>
                  </w14:solidFill>
                </w14:textFill>
              </w:rPr>
            </w:pPr>
            <w:r>
              <w:rPr>
                <w:rFonts w:hint="eastAsia" w:eastAsia="仿宋_GB2312" w:cs="宋体"/>
                <w:b/>
                <w:color w:val="000000" w:themeColor="text1"/>
                <w:kern w:val="0"/>
                <w:sz w:val="24"/>
                <w:szCs w:val="24"/>
                <w14:textFill>
                  <w14:solidFill>
                    <w14:schemeClr w14:val="tx1"/>
                  </w14:solidFill>
                </w14:textFill>
              </w:rPr>
              <w:t>考核项目</w:t>
            </w:r>
          </w:p>
        </w:tc>
        <w:tc>
          <w:tcPr>
            <w:tcW w:w="1346" w:type="dxa"/>
            <w:gridSpan w:val="2"/>
            <w:noWrap/>
            <w:vAlign w:val="center"/>
          </w:tcPr>
          <w:p>
            <w:pPr>
              <w:widowControl/>
              <w:jc w:val="center"/>
              <w:rPr>
                <w:rFonts w:eastAsia="仿宋_GB2312" w:cs="宋体"/>
                <w:b/>
                <w:color w:val="000000" w:themeColor="text1"/>
                <w:kern w:val="0"/>
                <w:sz w:val="24"/>
                <w:szCs w:val="24"/>
                <w14:textFill>
                  <w14:solidFill>
                    <w14:schemeClr w14:val="tx1"/>
                  </w14:solidFill>
                </w14:textFill>
              </w:rPr>
            </w:pPr>
            <w:r>
              <w:rPr>
                <w:rFonts w:hint="eastAsia" w:eastAsia="仿宋_GB2312" w:cs="宋体"/>
                <w:b/>
                <w:color w:val="000000" w:themeColor="text1"/>
                <w:kern w:val="0"/>
                <w:sz w:val="24"/>
                <w:szCs w:val="24"/>
                <w14:textFill>
                  <w14:solidFill>
                    <w14:schemeClr w14:val="tx1"/>
                  </w14:solidFill>
                </w14:textFill>
              </w:rPr>
              <w:t>考核内容</w:t>
            </w:r>
          </w:p>
        </w:tc>
        <w:tc>
          <w:tcPr>
            <w:tcW w:w="702" w:type="dxa"/>
            <w:noWrap/>
            <w:vAlign w:val="center"/>
          </w:tcPr>
          <w:p>
            <w:pPr>
              <w:widowControl/>
              <w:jc w:val="center"/>
              <w:rPr>
                <w:rFonts w:eastAsia="仿宋_GB2312" w:cs="宋体"/>
                <w:b/>
                <w:color w:val="000000" w:themeColor="text1"/>
                <w:kern w:val="0"/>
                <w:sz w:val="24"/>
                <w:szCs w:val="24"/>
                <w14:textFill>
                  <w14:solidFill>
                    <w14:schemeClr w14:val="tx1"/>
                  </w14:solidFill>
                </w14:textFill>
              </w:rPr>
            </w:pPr>
            <w:r>
              <w:rPr>
                <w:rFonts w:hint="eastAsia" w:eastAsia="仿宋_GB2312" w:cs="宋体"/>
                <w:b/>
                <w:color w:val="000000" w:themeColor="text1"/>
                <w:kern w:val="0"/>
                <w:sz w:val="24"/>
                <w:szCs w:val="24"/>
                <w14:textFill>
                  <w14:solidFill>
                    <w14:schemeClr w14:val="tx1"/>
                  </w14:solidFill>
                </w14:textFill>
              </w:rPr>
              <w:t>总分值</w:t>
            </w:r>
          </w:p>
        </w:tc>
        <w:tc>
          <w:tcPr>
            <w:tcW w:w="1657" w:type="dxa"/>
            <w:noWrap/>
            <w:vAlign w:val="center"/>
          </w:tcPr>
          <w:p>
            <w:pPr>
              <w:widowControl/>
              <w:jc w:val="center"/>
              <w:rPr>
                <w:rFonts w:eastAsia="仿宋_GB2312" w:cs="宋体"/>
                <w:b/>
                <w:color w:val="000000" w:themeColor="text1"/>
                <w:kern w:val="0"/>
                <w:sz w:val="24"/>
                <w:szCs w:val="24"/>
                <w14:textFill>
                  <w14:solidFill>
                    <w14:schemeClr w14:val="tx1"/>
                  </w14:solidFill>
                </w14:textFill>
              </w:rPr>
            </w:pPr>
            <w:r>
              <w:rPr>
                <w:rFonts w:hint="eastAsia" w:eastAsia="仿宋_GB2312" w:cs="宋体"/>
                <w:b/>
                <w:color w:val="000000" w:themeColor="text1"/>
                <w:kern w:val="0"/>
                <w:sz w:val="24"/>
                <w:szCs w:val="24"/>
                <w14:textFill>
                  <w14:solidFill>
                    <w14:schemeClr w14:val="tx1"/>
                  </w14:solidFill>
                </w14:textFill>
              </w:rPr>
              <w:t>考核办法</w:t>
            </w:r>
          </w:p>
        </w:tc>
        <w:tc>
          <w:tcPr>
            <w:tcW w:w="744" w:type="dxa"/>
            <w:noWrap/>
            <w:vAlign w:val="center"/>
          </w:tcPr>
          <w:p>
            <w:pPr>
              <w:widowControl/>
              <w:jc w:val="center"/>
              <w:rPr>
                <w:rFonts w:eastAsia="仿宋_GB2312" w:cs="宋体"/>
                <w:b/>
                <w:color w:val="000000" w:themeColor="text1"/>
                <w:kern w:val="0"/>
                <w:sz w:val="24"/>
                <w:szCs w:val="24"/>
                <w14:textFill>
                  <w14:solidFill>
                    <w14:schemeClr w14:val="tx1"/>
                  </w14:solidFill>
                </w14:textFill>
              </w:rPr>
            </w:pPr>
            <w:r>
              <w:rPr>
                <w:rFonts w:hint="eastAsia" w:eastAsia="仿宋_GB2312" w:cs="宋体"/>
                <w:b/>
                <w:color w:val="000000" w:themeColor="text1"/>
                <w:kern w:val="0"/>
                <w:sz w:val="24"/>
                <w:szCs w:val="24"/>
                <w14:textFill>
                  <w14:solidFill>
                    <w14:schemeClr w14:val="tx1"/>
                  </w14:solidFill>
                </w14:textFill>
              </w:rPr>
              <w:t>分值</w:t>
            </w:r>
          </w:p>
        </w:tc>
        <w:tc>
          <w:tcPr>
            <w:tcW w:w="1998" w:type="dxa"/>
            <w:noWrap/>
            <w:vAlign w:val="center"/>
          </w:tcPr>
          <w:p>
            <w:pPr>
              <w:widowControl/>
              <w:jc w:val="center"/>
              <w:rPr>
                <w:rFonts w:eastAsia="仿宋_GB2312" w:cs="宋体"/>
                <w:b/>
                <w:color w:val="000000" w:themeColor="text1"/>
                <w:kern w:val="0"/>
                <w:sz w:val="24"/>
                <w:szCs w:val="24"/>
                <w14:textFill>
                  <w14:solidFill>
                    <w14:schemeClr w14:val="tx1"/>
                  </w14:solidFill>
                </w14:textFill>
              </w:rPr>
            </w:pPr>
            <w:r>
              <w:rPr>
                <w:rFonts w:hint="eastAsia" w:eastAsia="仿宋_GB2312" w:cs="宋体"/>
                <w:b/>
                <w:color w:val="000000" w:themeColor="text1"/>
                <w:kern w:val="0"/>
                <w:sz w:val="24"/>
                <w:szCs w:val="24"/>
                <w14:textFill>
                  <w14:solidFill>
                    <w14:schemeClr w14:val="tx1"/>
                  </w14:solidFill>
                </w14:textFill>
              </w:rPr>
              <w:t>考核办法</w:t>
            </w:r>
          </w:p>
        </w:tc>
        <w:tc>
          <w:tcPr>
            <w:tcW w:w="1203" w:type="dxa"/>
            <w:noWrap/>
            <w:vAlign w:val="center"/>
          </w:tcPr>
          <w:p>
            <w:pPr>
              <w:widowControl/>
              <w:jc w:val="center"/>
              <w:rPr>
                <w:rFonts w:eastAsia="仿宋_GB2312" w:cs="宋体"/>
                <w:b/>
                <w:color w:val="000000" w:themeColor="text1"/>
                <w:kern w:val="0"/>
                <w:sz w:val="24"/>
                <w:szCs w:val="24"/>
                <w14:textFill>
                  <w14:solidFill>
                    <w14:schemeClr w14:val="tx1"/>
                  </w14:solidFill>
                </w14:textFill>
              </w:rPr>
            </w:pPr>
            <w:r>
              <w:rPr>
                <w:rFonts w:hint="eastAsia" w:eastAsia="仿宋_GB2312" w:cs="宋体"/>
                <w:b/>
                <w:color w:val="000000" w:themeColor="text1"/>
                <w:kern w:val="0"/>
                <w:sz w:val="24"/>
                <w:szCs w:val="24"/>
                <w14:textFill>
                  <w14:solidFill>
                    <w14:schemeClr w14:val="tx1"/>
                  </w14:solidFill>
                </w14:textFill>
              </w:rPr>
              <w:t>所需</w:t>
            </w:r>
          </w:p>
          <w:p>
            <w:pPr>
              <w:widowControl/>
              <w:jc w:val="center"/>
              <w:rPr>
                <w:rFonts w:eastAsia="仿宋_GB2312" w:cs="宋体"/>
                <w:b/>
                <w:color w:val="000000" w:themeColor="text1"/>
                <w:kern w:val="0"/>
                <w:sz w:val="24"/>
                <w:szCs w:val="24"/>
                <w14:textFill>
                  <w14:solidFill>
                    <w14:schemeClr w14:val="tx1"/>
                  </w14:solidFill>
                </w14:textFill>
              </w:rPr>
            </w:pPr>
            <w:r>
              <w:rPr>
                <w:rFonts w:hint="eastAsia" w:eastAsia="仿宋_GB2312" w:cs="宋体"/>
                <w:b/>
                <w:color w:val="000000" w:themeColor="text1"/>
                <w:kern w:val="0"/>
                <w:sz w:val="24"/>
                <w:szCs w:val="24"/>
                <w14:textFill>
                  <w14:solidFill>
                    <w14:schemeClr w14:val="tx1"/>
                  </w14:solidFill>
                </w14:textFill>
              </w:rPr>
              <w:t>材料</w:t>
            </w:r>
          </w:p>
        </w:tc>
        <w:tc>
          <w:tcPr>
            <w:tcW w:w="988" w:type="dxa"/>
            <w:gridSpan w:val="2"/>
            <w:noWrap/>
            <w:vAlign w:val="center"/>
          </w:tcPr>
          <w:p>
            <w:pPr>
              <w:widowControl/>
              <w:jc w:val="center"/>
              <w:rPr>
                <w:rFonts w:hint="default" w:eastAsia="仿宋_GB2312" w:cs="宋体"/>
                <w:b/>
                <w:color w:val="000000" w:themeColor="text1"/>
                <w:kern w:val="0"/>
                <w:sz w:val="24"/>
                <w:szCs w:val="24"/>
                <w:lang w:val="en" w:eastAsia="zh-CN"/>
                <w14:textFill>
                  <w14:solidFill>
                    <w14:schemeClr w14:val="tx1"/>
                  </w14:solidFill>
                </w14:textFill>
              </w:rPr>
            </w:pPr>
            <w:r>
              <w:rPr>
                <w:rFonts w:hint="eastAsia" w:eastAsia="仿宋_GB2312" w:cs="宋体"/>
                <w:b/>
                <w:color w:val="000000" w:themeColor="text1"/>
                <w:kern w:val="0"/>
                <w:sz w:val="24"/>
                <w:szCs w:val="24"/>
                <w:lang w:val="en" w:eastAsia="zh-CN"/>
                <w14:textFill>
                  <w14:solidFill>
                    <w14:schemeClr w14:val="tx1"/>
                  </w14:solidFill>
                </w14:textFill>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3"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w:t>
            </w:r>
          </w:p>
        </w:tc>
        <w:tc>
          <w:tcPr>
            <w:tcW w:w="74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组织与管理</w:t>
            </w:r>
          </w:p>
        </w:tc>
        <w:tc>
          <w:tcPr>
            <w:tcW w:w="49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w:t>
            </w:r>
          </w:p>
        </w:tc>
        <w:tc>
          <w:tcPr>
            <w:tcW w:w="854"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项目组织</w:t>
            </w:r>
          </w:p>
        </w:tc>
        <w:tc>
          <w:tcPr>
            <w:tcW w:w="70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4</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项目单位设有专门组织机构负责项目的管理和协调。</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2</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项目单位设有专门组织机构负责项目的管理和协调，记2分；否则，不记分。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项目管理和协调机构情况相关资料。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854"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0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人员分工明确，责任到人。</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2</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人员有具体分工，记1分；否则，不记分。责任到人，记1分；否则，不记分。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人员分工及责任到人情况相关资料。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2</w:t>
            </w:r>
          </w:p>
        </w:tc>
        <w:tc>
          <w:tcPr>
            <w:tcW w:w="854"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项目管理</w:t>
            </w:r>
          </w:p>
        </w:tc>
        <w:tc>
          <w:tcPr>
            <w:tcW w:w="70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4</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培训管理、财务管理、资产管理、风险管理等制度健全，运行规范。</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2</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培训管理、财务管理、资产管理、风险管理等制度健全，运行规范记2分；少一项扣0.5分。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制度文件等相关资料。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854"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0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项目档案及相关资料完整。</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2</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项目档案及相关资料完整，记2分；不完整的，扣1分；无档案的，不记分。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项目档案及相关资料。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453"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2</w:t>
            </w:r>
          </w:p>
        </w:tc>
        <w:tc>
          <w:tcPr>
            <w:tcW w:w="74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　　培训能力</w:t>
            </w:r>
          </w:p>
        </w:tc>
        <w:tc>
          <w:tcPr>
            <w:tcW w:w="49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3</w:t>
            </w:r>
          </w:p>
        </w:tc>
        <w:tc>
          <w:tcPr>
            <w:tcW w:w="85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场地条件</w:t>
            </w:r>
          </w:p>
        </w:tc>
        <w:tc>
          <w:tcPr>
            <w:tcW w:w="70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企业同期培训能力不低于100人，公共实训基地同期培训能力不低于150人，职业院校同期培训能力不低于200人。</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未能达到的，扣1-5分。</w:t>
            </w:r>
          </w:p>
        </w:tc>
        <w:tc>
          <w:tcPr>
            <w:tcW w:w="1203" w:type="dxa"/>
            <w:noWrap/>
            <w:vAlign w:val="center"/>
          </w:tcPr>
          <w:p>
            <w:pPr>
              <w:widowControl/>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培训场所面积汇总表、平面图及相关资料。</w:t>
            </w:r>
          </w:p>
        </w:tc>
        <w:tc>
          <w:tcPr>
            <w:tcW w:w="988" w:type="dxa"/>
            <w:gridSpan w:val="2"/>
            <w:noWrap/>
            <w:vAlign w:val="center"/>
          </w:tcPr>
          <w:p>
            <w:pPr>
              <w:widowControl/>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4</w:t>
            </w:r>
          </w:p>
        </w:tc>
        <w:tc>
          <w:tcPr>
            <w:tcW w:w="854"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设备条件</w:t>
            </w:r>
          </w:p>
        </w:tc>
        <w:tc>
          <w:tcPr>
            <w:tcW w:w="70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10</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具有2-3个紧缺特色培训职业（工种）和相匹配的实训设备。</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培训职业（工种）和实训设备相匹配的，记5分；不相匹配的，扣1-5分。</w:t>
            </w:r>
          </w:p>
        </w:tc>
        <w:tc>
          <w:tcPr>
            <w:tcW w:w="1203" w:type="dxa"/>
            <w:vMerge w:val="restart"/>
            <w:noWrap/>
            <w:vAlign w:val="center"/>
          </w:tcPr>
          <w:p>
            <w:pPr>
              <w:widowControl/>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实训设备台账；实训设备使用记录等佐证材料。</w:t>
            </w:r>
          </w:p>
        </w:tc>
        <w:tc>
          <w:tcPr>
            <w:tcW w:w="988" w:type="dxa"/>
            <w:gridSpan w:val="2"/>
            <w:noWrap/>
            <w:vAlign w:val="center"/>
          </w:tcPr>
          <w:p>
            <w:pPr>
              <w:widowControl/>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noWrap/>
            <w:vAlign w:val="center"/>
          </w:tcPr>
          <w:p>
            <w:pPr>
              <w:widowControl/>
              <w:jc w:val="center"/>
              <w:rPr>
                <w:rFonts w:eastAsia="仿宋_GB2312" w:cs="宋体"/>
                <w:color w:val="000000" w:themeColor="text1"/>
                <w:kern w:val="0"/>
                <w:sz w:val="22"/>
                <w14:textFill>
                  <w14:solidFill>
                    <w14:schemeClr w14:val="tx1"/>
                  </w14:solidFill>
                </w14:textFill>
              </w:rPr>
            </w:pPr>
          </w:p>
        </w:tc>
        <w:tc>
          <w:tcPr>
            <w:tcW w:w="854" w:type="dxa"/>
            <w:vMerge w:val="continue"/>
            <w:noWrap/>
            <w:vAlign w:val="center"/>
          </w:tcPr>
          <w:p>
            <w:pPr>
              <w:widowControl/>
              <w:jc w:val="center"/>
              <w:rPr>
                <w:rFonts w:eastAsia="仿宋_GB2312" w:cs="宋体"/>
                <w:color w:val="000000" w:themeColor="text1"/>
                <w:kern w:val="0"/>
                <w:sz w:val="22"/>
                <w14:textFill>
                  <w14:solidFill>
                    <w14:schemeClr w14:val="tx1"/>
                  </w14:solidFill>
                </w14:textFill>
              </w:rPr>
            </w:pPr>
          </w:p>
        </w:tc>
        <w:tc>
          <w:tcPr>
            <w:tcW w:w="702" w:type="dxa"/>
            <w:vMerge w:val="continue"/>
            <w:noWrap/>
            <w:vAlign w:val="center"/>
          </w:tcPr>
          <w:p>
            <w:pPr>
              <w:widowControl/>
              <w:jc w:val="center"/>
              <w:rPr>
                <w:rFonts w:eastAsia="仿宋_GB2312" w:cs="宋体"/>
                <w:color w:val="000000" w:themeColor="text1"/>
                <w:kern w:val="0"/>
                <w:sz w:val="22"/>
                <w14:textFill>
                  <w14:solidFill>
                    <w14:schemeClr w14:val="tx1"/>
                  </w14:solidFill>
                </w14:textFill>
              </w:rPr>
            </w:pPr>
          </w:p>
        </w:tc>
        <w:tc>
          <w:tcPr>
            <w:tcW w:w="1657" w:type="dxa"/>
            <w:noWrap/>
            <w:vAlign w:val="center"/>
          </w:tcPr>
          <w:p>
            <w:pPr>
              <w:widowControl/>
              <w:jc w:val="left"/>
              <w:rPr>
                <w:rFonts w:hint="eastAsia" w:eastAsia="仿宋_GB2312" w:cs="宋体"/>
                <w:color w:val="000000" w:themeColor="text1"/>
                <w:kern w:val="0"/>
                <w:sz w:val="22"/>
                <w:lang w:eastAsia="zh-CN"/>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购置培训设备总值达到项目实施方案要求</w:t>
            </w:r>
            <w:r>
              <w:rPr>
                <w:rFonts w:hint="eastAsia" w:eastAsia="仿宋_GB2312" w:cs="宋体"/>
                <w:color w:val="000000" w:themeColor="text1"/>
                <w:kern w:val="0"/>
                <w:sz w:val="22"/>
                <w:lang w:eastAsia="zh-CN"/>
                <w14:textFill>
                  <w14:solidFill>
                    <w14:schemeClr w14:val="tx1"/>
                  </w14:solidFill>
                </w14:textFill>
              </w:rPr>
              <w:t>。</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购置培训设备总值达到项目批准书要求，记5分；未达要求的，扣1-5分。</w:t>
            </w:r>
          </w:p>
        </w:tc>
        <w:tc>
          <w:tcPr>
            <w:tcW w:w="1203" w:type="dxa"/>
            <w:vMerge w:val="continue"/>
            <w:noWrap/>
            <w:vAlign w:val="center"/>
          </w:tcPr>
          <w:p>
            <w:pPr>
              <w:widowControl/>
              <w:rPr>
                <w:rFonts w:eastAsia="仿宋_GB2312" w:cs="宋体"/>
                <w:color w:val="000000" w:themeColor="text1"/>
                <w:kern w:val="0"/>
                <w:sz w:val="22"/>
                <w14:textFill>
                  <w14:solidFill>
                    <w14:schemeClr w14:val="tx1"/>
                  </w14:solidFill>
                </w14:textFill>
              </w:rPr>
            </w:pPr>
          </w:p>
        </w:tc>
        <w:tc>
          <w:tcPr>
            <w:tcW w:w="988" w:type="dxa"/>
            <w:gridSpan w:val="2"/>
            <w:noWrap/>
            <w:vAlign w:val="center"/>
          </w:tcPr>
          <w:p>
            <w:pPr>
              <w:widowControl/>
              <w:rPr>
                <w:rFonts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53" w:type="dxa"/>
            <w:vMerge w:val="continue"/>
            <w:tcBorders>
              <w:bottom w:val="single" w:color="auto" w:sz="4" w:space="0"/>
            </w:tcBorders>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tcBorders>
              <w:bottom w:val="single" w:color="auto" w:sz="4" w:space="0"/>
            </w:tcBorders>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tcBorders>
              <w:bottom w:val="single" w:color="auto" w:sz="4" w:space="0"/>
            </w:tcBorders>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854" w:type="dxa"/>
            <w:tcBorders>
              <w:bottom w:val="single" w:color="auto" w:sz="4" w:space="0"/>
            </w:tcBorders>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师资条件</w:t>
            </w:r>
          </w:p>
        </w:tc>
        <w:tc>
          <w:tcPr>
            <w:tcW w:w="702" w:type="dxa"/>
            <w:tcBorders>
              <w:bottom w:val="single" w:color="auto" w:sz="4" w:space="0"/>
            </w:tcBorders>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6</w:t>
            </w:r>
          </w:p>
        </w:tc>
        <w:tc>
          <w:tcPr>
            <w:tcW w:w="1657" w:type="dxa"/>
            <w:tcBorders>
              <w:bottom w:val="single" w:color="auto" w:sz="4" w:space="0"/>
            </w:tcBorders>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所建专业的师资满足高技能人才培养要求。</w:t>
            </w:r>
          </w:p>
        </w:tc>
        <w:tc>
          <w:tcPr>
            <w:tcW w:w="744" w:type="dxa"/>
            <w:tcBorders>
              <w:bottom w:val="single" w:color="auto" w:sz="4" w:space="0"/>
            </w:tcBorders>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6</w:t>
            </w:r>
          </w:p>
        </w:tc>
        <w:tc>
          <w:tcPr>
            <w:tcW w:w="1998" w:type="dxa"/>
            <w:tcBorders>
              <w:bottom w:val="single" w:color="auto" w:sz="4" w:space="0"/>
            </w:tcBorders>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所建专业师资满足高技能人才培养要求的，记6分；不能满足要求的每个项目扣1-3分。</w:t>
            </w:r>
          </w:p>
        </w:tc>
        <w:tc>
          <w:tcPr>
            <w:tcW w:w="1203" w:type="dxa"/>
            <w:tcBorders>
              <w:bottom w:val="single" w:color="auto" w:sz="4" w:space="0"/>
            </w:tcBorders>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各专业教师花名册。</w:t>
            </w:r>
          </w:p>
        </w:tc>
        <w:tc>
          <w:tcPr>
            <w:tcW w:w="988" w:type="dxa"/>
            <w:gridSpan w:val="2"/>
            <w:tcBorders>
              <w:bottom w:val="single" w:color="auto" w:sz="4" w:space="0"/>
            </w:tcBorders>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6</w:t>
            </w:r>
          </w:p>
        </w:tc>
        <w:tc>
          <w:tcPr>
            <w:tcW w:w="85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课程体系</w:t>
            </w:r>
          </w:p>
        </w:tc>
        <w:tc>
          <w:tcPr>
            <w:tcW w:w="70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3</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所建专业构建了与培养高技能人才需求相适应的培训课程体系。</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3</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所建各专业均构建了与培养高技能人才需求相适应的培训课程体系的，记3分；少建一个，扣1分。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各专业培训课程体系等相关资料。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3"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3</w:t>
            </w:r>
          </w:p>
        </w:tc>
        <w:tc>
          <w:tcPr>
            <w:tcW w:w="74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　　培训体系</w:t>
            </w:r>
          </w:p>
        </w:tc>
        <w:tc>
          <w:tcPr>
            <w:tcW w:w="49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7</w:t>
            </w:r>
          </w:p>
        </w:tc>
        <w:tc>
          <w:tcPr>
            <w:tcW w:w="85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校企合作</w:t>
            </w:r>
          </w:p>
        </w:tc>
        <w:tc>
          <w:tcPr>
            <w:tcW w:w="70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6</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职业院校应与3家以上企业建立稳定的校企合作关系。企业、公共实训基地应与院校建立企校合作关系。</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6</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职业院校与3家企业签订合作开展高技能人才培训协议，记6分，少一家扣2分；企业、公共实训基地应与院校签订合作协议，未签订的扣6分。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培训协议、方案等相关资料。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8</w:t>
            </w:r>
          </w:p>
        </w:tc>
        <w:tc>
          <w:tcPr>
            <w:tcW w:w="854"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师资建设</w:t>
            </w:r>
          </w:p>
        </w:tc>
        <w:tc>
          <w:tcPr>
            <w:tcW w:w="70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10</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聘请企业技师或者院校教师等担任兼职教师。</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聘请企业技师或者院校教师等担任兼职教师，记5分；未达100%的，酌情扣分。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兼职培训教师列表及证书复印件等材料。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854"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0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专职培训教师具有中级职称或高级工以上技能水平的教师应占教师总人数45%以上。</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专职培训教师具有中级职称或高级工以上技能水平占教师总数达45%以上，记5分；每少10%扣1分。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培训教师的列表及有关证书复印件等材料。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9</w:t>
            </w:r>
          </w:p>
        </w:tc>
        <w:tc>
          <w:tcPr>
            <w:tcW w:w="85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效果评价</w:t>
            </w:r>
          </w:p>
        </w:tc>
        <w:tc>
          <w:tcPr>
            <w:tcW w:w="70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6</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建立了过程性考核与终结性考核相结合的培训教学质量评价机制，严格实行培训质量管理。</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6</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建立了过程性考核与终结性考核相结合的培训教学质量评价机制，并切实开展相关评价的，记6分；一般的，酌情扣1-3分；未开展的，不记分。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开展过程性考核与终结性考核相结合的培训教学质量评价的相关资料。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53"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4</w:t>
            </w:r>
          </w:p>
        </w:tc>
        <w:tc>
          <w:tcPr>
            <w:tcW w:w="74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　　资金管理</w:t>
            </w:r>
          </w:p>
        </w:tc>
        <w:tc>
          <w:tcPr>
            <w:tcW w:w="49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10</w:t>
            </w:r>
          </w:p>
        </w:tc>
        <w:tc>
          <w:tcPr>
            <w:tcW w:w="85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使用范围</w:t>
            </w:r>
          </w:p>
        </w:tc>
        <w:tc>
          <w:tcPr>
            <w:tcW w:w="70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10</w:t>
            </w:r>
          </w:p>
        </w:tc>
        <w:tc>
          <w:tcPr>
            <w:tcW w:w="1657" w:type="dxa"/>
            <w:noWrap/>
            <w:vAlign w:val="center"/>
          </w:tcPr>
          <w:p>
            <w:pPr>
              <w:widowControl/>
              <w:shd w:val="clear" w:color="auto" w:fill="FFFFFF"/>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高技能人才培训基地建设所需实训设备的购置改造与维护、原材料消耗、师资培训、课程设置和教材开发、与教学活动有关的科研活动及其他培训成本等方面的支出，不得用于差旅费、劳务费、津贴奖金等与培训基地建设无关的支出。</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10</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各类资金使用严格按照经费使用范围执行的，记10分；出现不合理、不合规开支的视情况影响总评分。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使用的相关票据等资料。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11</w:t>
            </w:r>
          </w:p>
        </w:tc>
        <w:tc>
          <w:tcPr>
            <w:tcW w:w="854"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资金核算</w:t>
            </w:r>
          </w:p>
        </w:tc>
        <w:tc>
          <w:tcPr>
            <w:tcW w:w="70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6</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经费使用符合财务管理规定，账目清楚，设立项目资金专账。</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3</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设立项目资金专账的，记3分；未设的，不记分。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资金专账票据。</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854"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0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资金到项目、管理到项目、核算到项目。</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3</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资金到项目、管理到项目、核算到项目的，记3分；少一项扣1分。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项目经费管理实施细则落实到位的佐证材料。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53"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74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　　项目产出</w:t>
            </w:r>
          </w:p>
        </w:tc>
        <w:tc>
          <w:tcPr>
            <w:tcW w:w="49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12</w:t>
            </w:r>
          </w:p>
        </w:tc>
        <w:tc>
          <w:tcPr>
            <w:tcW w:w="85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体系构建</w:t>
            </w:r>
          </w:p>
        </w:tc>
        <w:tc>
          <w:tcPr>
            <w:tcW w:w="702"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培训模式、课程设置、教材开发、师资建设、培训装备和能力评价等方面构建了较为完备的高技能人才培训体系。</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合作培训、课程设置、教材开发、师资建设、能力评价等环节工作体现校企合作、运行良好，记5分；运行一般的，酌情扣0.5-2分。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5个环节体现有机运营、效果良好的总结材料。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13</w:t>
            </w:r>
          </w:p>
        </w:tc>
        <w:tc>
          <w:tcPr>
            <w:tcW w:w="854"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规模效应</w:t>
            </w:r>
          </w:p>
        </w:tc>
        <w:tc>
          <w:tcPr>
            <w:tcW w:w="70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10</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项目建设经验在本市高技能人才培训领域发挥示范作用。</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项目建设经验在本区域高技能人才培训领域发挥示范作用的，记5分；一般的，记0.5-2分。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项目建设经验在本市发挥示范作用的佐证材料。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854"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0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所建设专业开展高级工以上或者相当于高级工高技能人才（含高级工）培训。</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jc w:val="left"/>
              <w:rPr>
                <w:rFonts w:hint="eastAsia"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企业培训高级工以上高技能人才年培训达200人以上的，记5分；每少20人扣0.5分。公共实训基地培训高技能人才年培训达400人以上的，记5分；每少40人扣0.5分。职业院校培训高级工以上高技能人才年培训达600人以上的，记5分；每少60人扣0.5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培训学员的身份证、缴费单、学员名册、培训合格证等佐证材料复印件。</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14</w:t>
            </w:r>
          </w:p>
        </w:tc>
        <w:tc>
          <w:tcPr>
            <w:tcW w:w="854"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评价反馈</w:t>
            </w:r>
          </w:p>
        </w:tc>
        <w:tc>
          <w:tcPr>
            <w:tcW w:w="70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10</w:t>
            </w:r>
          </w:p>
        </w:tc>
        <w:tc>
          <w:tcPr>
            <w:tcW w:w="1657" w:type="dxa"/>
            <w:noWrap/>
            <w:vAlign w:val="center"/>
          </w:tcPr>
          <w:p>
            <w:pPr>
              <w:widowControl/>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建立了培训质量社会评价机制，培训后，对方单位满意率达85%以上。</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校企合作的用人单位满意率达85%以上的，记5分；每少5%扣0.5分。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对方单位满意率调查表、调查报告等相关资料。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854"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0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1657" w:type="dxa"/>
            <w:noWrap/>
            <w:vAlign w:val="center"/>
          </w:tcPr>
          <w:p>
            <w:pPr>
              <w:widowControl/>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建立了培训质量社会评价机制，培训后，学员满意率达85%以上。</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998" w:type="dxa"/>
            <w:noWrap/>
            <w:vAlign w:val="center"/>
          </w:tcPr>
          <w:p>
            <w:pPr>
              <w:widowControl/>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学员满意率达85%以上的，记5分；每少5%扣0.5分。</w:t>
            </w:r>
          </w:p>
        </w:tc>
        <w:tc>
          <w:tcPr>
            <w:tcW w:w="1203"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学员满意率调查表、调查报告等相关资料。</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15</w:t>
            </w:r>
          </w:p>
        </w:tc>
        <w:tc>
          <w:tcPr>
            <w:tcW w:w="854"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经验总结</w:t>
            </w:r>
          </w:p>
        </w:tc>
        <w:tc>
          <w:tcPr>
            <w:tcW w:w="702" w:type="dxa"/>
            <w:vMerge w:val="restart"/>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5</w:t>
            </w: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总结本单位高技能人才培训的基本规律和科学方法，提炼高技能人才培训基地建设的经验和做法，并形成总结报告。</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2</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形成总结报告，记2分；未形成总结报告的，不记分。</w:t>
            </w:r>
          </w:p>
        </w:tc>
        <w:tc>
          <w:tcPr>
            <w:tcW w:w="1203" w:type="dxa"/>
            <w:vMerge w:val="restart"/>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总结报告。</w:t>
            </w:r>
          </w:p>
        </w:tc>
        <w:tc>
          <w:tcPr>
            <w:tcW w:w="988" w:type="dxa"/>
            <w:gridSpan w:val="2"/>
            <w:noWrap/>
            <w:vAlign w:val="center"/>
          </w:tcPr>
          <w:p>
            <w:pPr>
              <w:widowControl/>
              <w:jc w:val="left"/>
              <w:rPr>
                <w:rFonts w:hint="eastAsia"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4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49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854"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702"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1657"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总结报告中，高技能人才培训的做法体现模式创新、方法创新。</w:t>
            </w:r>
          </w:p>
        </w:tc>
        <w:tc>
          <w:tcPr>
            <w:tcW w:w="744" w:type="dxa"/>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3</w:t>
            </w:r>
          </w:p>
        </w:tc>
        <w:tc>
          <w:tcPr>
            <w:tcW w:w="1998" w:type="dxa"/>
            <w:noWrap/>
            <w:vAlign w:val="center"/>
          </w:tcPr>
          <w:p>
            <w:pPr>
              <w:widowControl/>
              <w:jc w:val="left"/>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总结报告中，高技能人才培训的做法体现模式创新、方法创新的，记3分；情况一般的，记1-2分。</w:t>
            </w:r>
          </w:p>
        </w:tc>
        <w:tc>
          <w:tcPr>
            <w:tcW w:w="1203" w:type="dxa"/>
            <w:vMerge w:val="continue"/>
            <w:noWrap/>
            <w:vAlign w:val="center"/>
          </w:tcPr>
          <w:p>
            <w:pPr>
              <w:widowControl/>
              <w:jc w:val="left"/>
              <w:rPr>
                <w:rFonts w:eastAsia="仿宋_GB2312" w:cs="宋体"/>
                <w:color w:val="000000" w:themeColor="text1"/>
                <w:kern w:val="0"/>
                <w:sz w:val="22"/>
                <w14:textFill>
                  <w14:solidFill>
                    <w14:schemeClr w14:val="tx1"/>
                  </w14:solidFill>
                </w14:textFill>
              </w:rPr>
            </w:pPr>
          </w:p>
        </w:tc>
        <w:tc>
          <w:tcPr>
            <w:tcW w:w="988" w:type="dxa"/>
            <w:gridSpan w:val="2"/>
            <w:noWrap/>
            <w:vAlign w:val="center"/>
          </w:tcPr>
          <w:p>
            <w:pPr>
              <w:widowControl/>
              <w:jc w:val="left"/>
              <w:rPr>
                <w:rFonts w:eastAsia="仿宋_GB2312"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810" w:hRule="atLeast"/>
          <w:jc w:val="center"/>
        </w:trPr>
        <w:tc>
          <w:tcPr>
            <w:tcW w:w="2541" w:type="dxa"/>
            <w:gridSpan w:val="4"/>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总 分</w:t>
            </w:r>
          </w:p>
        </w:tc>
        <w:tc>
          <w:tcPr>
            <w:tcW w:w="6304" w:type="dxa"/>
            <w:gridSpan w:val="5"/>
            <w:noWrap/>
            <w:vAlign w:val="center"/>
          </w:tcPr>
          <w:p>
            <w:pPr>
              <w:widowControl/>
              <w:jc w:val="center"/>
              <w:rPr>
                <w:rFonts w:eastAsia="仿宋_GB2312" w:cs="宋体"/>
                <w:color w:val="000000" w:themeColor="text1"/>
                <w:kern w:val="0"/>
                <w:sz w:val="22"/>
                <w14:textFill>
                  <w14:solidFill>
                    <w14:schemeClr w14:val="tx1"/>
                  </w14:solidFill>
                </w14:textFill>
              </w:rPr>
            </w:pPr>
            <w:r>
              <w:rPr>
                <w:rFonts w:hint="eastAsia" w:eastAsia="仿宋_GB2312" w:cs="宋体"/>
                <w:color w:val="000000" w:themeColor="text1"/>
                <w:kern w:val="0"/>
                <w:sz w:val="22"/>
                <w14:textFill>
                  <w14:solidFill>
                    <w14:schemeClr w14:val="tx1"/>
                  </w14:solidFill>
                </w14:textFill>
              </w:rPr>
              <w:t>100</w:t>
            </w:r>
          </w:p>
        </w:tc>
        <w:tc>
          <w:tcPr>
            <w:tcW w:w="917" w:type="dxa"/>
            <w:noWrap/>
            <w:vAlign w:val="center"/>
          </w:tcPr>
          <w:p>
            <w:pPr>
              <w:widowControl/>
              <w:jc w:val="center"/>
              <w:rPr>
                <w:rFonts w:hint="eastAsia" w:eastAsia="仿宋_GB2312" w:cs="宋体"/>
                <w:color w:val="000000" w:themeColor="text1"/>
                <w:kern w:val="0"/>
                <w:sz w:val="22"/>
                <w14:textFill>
                  <w14:solidFill>
                    <w14:schemeClr w14:val="tx1"/>
                  </w14:solidFill>
                </w14:textFill>
              </w:rPr>
            </w:pPr>
          </w:p>
        </w:tc>
      </w:tr>
    </w:tbl>
    <w:p>
      <w:pPr>
        <w:pStyle w:val="2"/>
        <w:adjustRightInd w:val="0"/>
        <w:spacing w:line="600" w:lineRule="exact"/>
        <w:jc w:val="both"/>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br w:type="page"/>
      </w:r>
      <w:r>
        <w:rPr>
          <w:rFonts w:hint="eastAsia" w:eastAsia="黑体"/>
          <w:color w:val="000000" w:themeColor="text1"/>
          <w:sz w:val="32"/>
          <w:szCs w:val="32"/>
          <w14:textFill>
            <w14:solidFill>
              <w14:schemeClr w14:val="tx1"/>
            </w14:solidFill>
          </w14:textFill>
        </w:rPr>
        <w:t>附件2</w:t>
      </w:r>
    </w:p>
    <w:p>
      <w:pPr>
        <w:pStyle w:val="2"/>
        <w:adjustRightInd w:val="0"/>
        <w:spacing w:line="600" w:lineRule="exact"/>
        <w:rPr>
          <w:rFonts w:eastAsia="文星简小标宋" w:cs="宋体"/>
          <w:bCs/>
          <w:color w:val="000000" w:themeColor="text1"/>
          <w:kern w:val="0"/>
          <w:szCs w:val="44"/>
          <w14:textFill>
            <w14:solidFill>
              <w14:schemeClr w14:val="tx1"/>
            </w14:solidFill>
          </w14:textFill>
        </w:rPr>
      </w:pPr>
      <w:r>
        <w:rPr>
          <w:rFonts w:hint="eastAsia" w:eastAsia="文星简小标宋" w:cs="宋体"/>
          <w:bCs/>
          <w:color w:val="000000" w:themeColor="text1"/>
          <w:kern w:val="0"/>
          <w:szCs w:val="44"/>
          <w14:textFill>
            <w14:solidFill>
              <w14:schemeClr w14:val="tx1"/>
            </w14:solidFill>
          </w14:textFill>
        </w:rPr>
        <w:t>天津市技能大师工作室终期验收考核细则</w:t>
      </w:r>
    </w:p>
    <w:p>
      <w:pPr>
        <w:pStyle w:val="2"/>
        <w:adjustRightInd w:val="0"/>
        <w:spacing w:line="600" w:lineRule="exact"/>
        <w:jc w:val="left"/>
        <w:rPr>
          <w:rFonts w:eastAsia="仿宋_GB2312"/>
          <w:color w:val="000000" w:themeColor="text1"/>
          <w:kern w:val="0"/>
          <w:sz w:val="24"/>
          <w:szCs w:val="24"/>
          <w14:textFill>
            <w14:solidFill>
              <w14:schemeClr w14:val="tx1"/>
            </w14:solidFill>
          </w14:textFill>
        </w:rPr>
      </w:pPr>
      <w:r>
        <w:rPr>
          <w:rFonts w:hint="eastAsia" w:eastAsia="仿宋_GB2312" w:cs="宋体"/>
          <w:bCs/>
          <w:color w:val="000000" w:themeColor="text1"/>
          <w:kern w:val="0"/>
          <w:sz w:val="24"/>
          <w:szCs w:val="24"/>
          <w14:textFill>
            <w14:solidFill>
              <w14:schemeClr w14:val="tx1"/>
            </w14:solidFill>
          </w14:textFill>
        </w:rPr>
        <w:t>技能大师工作室名称：</w:t>
      </w:r>
    </w:p>
    <w:tbl>
      <w:tblPr>
        <w:tblStyle w:val="7"/>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433"/>
        <w:gridCol w:w="546"/>
        <w:gridCol w:w="349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714" w:type="dxa"/>
            <w:vAlign w:val="center"/>
          </w:tcPr>
          <w:p>
            <w:pPr>
              <w:widowControl/>
              <w:jc w:val="center"/>
              <w:rPr>
                <w:rFonts w:cs="宋体"/>
                <w:b/>
                <w:color w:val="000000" w:themeColor="text1"/>
                <w:kern w:val="0"/>
                <w:sz w:val="22"/>
                <w:szCs w:val="22"/>
                <w14:textFill>
                  <w14:solidFill>
                    <w14:schemeClr w14:val="tx1"/>
                  </w14:solidFill>
                </w14:textFill>
              </w:rPr>
            </w:pPr>
            <w:r>
              <w:rPr>
                <w:rFonts w:hint="eastAsia" w:cs="宋体"/>
                <w:b/>
                <w:color w:val="000000" w:themeColor="text1"/>
                <w:kern w:val="0"/>
                <w:sz w:val="22"/>
                <w:szCs w:val="22"/>
                <w14:textFill>
                  <w14:solidFill>
                    <w14:schemeClr w14:val="tx1"/>
                  </w14:solidFill>
                </w14:textFill>
              </w:rPr>
              <w:t>考核项目</w:t>
            </w:r>
          </w:p>
        </w:tc>
        <w:tc>
          <w:tcPr>
            <w:tcW w:w="3433" w:type="dxa"/>
            <w:vAlign w:val="center"/>
          </w:tcPr>
          <w:p>
            <w:pPr>
              <w:widowControl/>
              <w:jc w:val="center"/>
              <w:rPr>
                <w:rFonts w:cs="宋体"/>
                <w:b/>
                <w:color w:val="000000" w:themeColor="text1"/>
                <w:kern w:val="0"/>
                <w:sz w:val="22"/>
                <w:szCs w:val="22"/>
                <w14:textFill>
                  <w14:solidFill>
                    <w14:schemeClr w14:val="tx1"/>
                  </w14:solidFill>
                </w14:textFill>
              </w:rPr>
            </w:pPr>
            <w:r>
              <w:rPr>
                <w:rFonts w:hint="eastAsia" w:cs="宋体"/>
                <w:b/>
                <w:color w:val="000000" w:themeColor="text1"/>
                <w:kern w:val="0"/>
                <w:sz w:val="22"/>
                <w:szCs w:val="22"/>
                <w14:textFill>
                  <w14:solidFill>
                    <w14:schemeClr w14:val="tx1"/>
                  </w14:solidFill>
                </w14:textFill>
              </w:rPr>
              <w:t>考核内容</w:t>
            </w:r>
          </w:p>
        </w:tc>
        <w:tc>
          <w:tcPr>
            <w:tcW w:w="546" w:type="dxa"/>
            <w:vAlign w:val="center"/>
          </w:tcPr>
          <w:p>
            <w:pPr>
              <w:widowControl/>
              <w:jc w:val="center"/>
              <w:rPr>
                <w:rFonts w:cs="宋体"/>
                <w:b/>
                <w:color w:val="000000" w:themeColor="text1"/>
                <w:kern w:val="0"/>
                <w:sz w:val="22"/>
                <w:szCs w:val="22"/>
                <w14:textFill>
                  <w14:solidFill>
                    <w14:schemeClr w14:val="tx1"/>
                  </w14:solidFill>
                </w14:textFill>
              </w:rPr>
            </w:pPr>
            <w:r>
              <w:rPr>
                <w:rFonts w:hint="eastAsia" w:cs="宋体"/>
                <w:b/>
                <w:color w:val="000000" w:themeColor="text1"/>
                <w:kern w:val="0"/>
                <w:sz w:val="22"/>
                <w:szCs w:val="22"/>
                <w14:textFill>
                  <w14:solidFill>
                    <w14:schemeClr w14:val="tx1"/>
                  </w14:solidFill>
                </w14:textFill>
              </w:rPr>
              <w:t>分值</w:t>
            </w:r>
          </w:p>
        </w:tc>
        <w:tc>
          <w:tcPr>
            <w:tcW w:w="3490" w:type="dxa"/>
            <w:vAlign w:val="center"/>
          </w:tcPr>
          <w:p>
            <w:pPr>
              <w:widowControl/>
              <w:jc w:val="center"/>
              <w:rPr>
                <w:rFonts w:cs="宋体"/>
                <w:b/>
                <w:color w:val="000000" w:themeColor="text1"/>
                <w:kern w:val="0"/>
                <w:sz w:val="22"/>
                <w:szCs w:val="22"/>
                <w14:textFill>
                  <w14:solidFill>
                    <w14:schemeClr w14:val="tx1"/>
                  </w14:solidFill>
                </w14:textFill>
              </w:rPr>
            </w:pPr>
            <w:r>
              <w:rPr>
                <w:rFonts w:hint="eastAsia" w:cs="宋体"/>
                <w:b/>
                <w:color w:val="000000" w:themeColor="text1"/>
                <w:kern w:val="0"/>
                <w:sz w:val="22"/>
                <w:szCs w:val="22"/>
                <w14:textFill>
                  <w14:solidFill>
                    <w14:schemeClr w14:val="tx1"/>
                  </w14:solidFill>
                </w14:textFill>
              </w:rPr>
              <w:t>评分标准</w:t>
            </w:r>
          </w:p>
        </w:tc>
        <w:tc>
          <w:tcPr>
            <w:tcW w:w="921" w:type="dxa"/>
            <w:vAlign w:val="center"/>
          </w:tcPr>
          <w:p>
            <w:pPr>
              <w:widowControl/>
              <w:jc w:val="center"/>
              <w:rPr>
                <w:rFonts w:hint="eastAsia" w:eastAsia="宋体" w:cs="宋体"/>
                <w:b/>
                <w:color w:val="000000" w:themeColor="text1"/>
                <w:kern w:val="0"/>
                <w:sz w:val="22"/>
                <w:szCs w:val="22"/>
                <w:lang w:eastAsia="zh-CN"/>
                <w14:textFill>
                  <w14:solidFill>
                    <w14:schemeClr w14:val="tx1"/>
                  </w14:solidFill>
                </w14:textFill>
              </w:rPr>
            </w:pPr>
            <w:r>
              <w:rPr>
                <w:rFonts w:hint="eastAsia" w:cs="宋体"/>
                <w:b/>
                <w:color w:val="000000" w:themeColor="text1"/>
                <w:kern w:val="0"/>
                <w:sz w:val="22"/>
                <w:szCs w:val="22"/>
                <w:lang w:eastAsia="zh-CN"/>
                <w14:textFill>
                  <w14:solidFill>
                    <w14:schemeClr w14:val="tx1"/>
                  </w14:solidFill>
                </w14:textFill>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4" w:type="dxa"/>
            <w:vMerge w:val="restart"/>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基础保障</w:t>
            </w: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配备专用的工作场地、学习交流场地等。</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10</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无场地不得分，无工作室成果荣誉展示栏扣5分。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4" w:type="dxa"/>
            <w:vMerge w:val="continue"/>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配备正常运作的设备。</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5</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设备不足影响操作扣5分。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4" w:type="dxa"/>
            <w:vMerge w:val="continue"/>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所在单位对工作室配套相应的经费扶持、制度保障。</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10</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无扶持资金扣5分，无制度扣5分。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4" w:type="dxa"/>
            <w:vMerge w:val="continue"/>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经费使用符合财务管理规定，账目清楚，资助经费主要用于培训用品购置、技能交流推广、技能创新研发等方面。</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10</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没有账目或经费管理办法的不得分；出现不合理、不合规开支的视情况影响总评分。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4" w:type="dxa"/>
            <w:vMerge w:val="restart"/>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日常管理</w:t>
            </w: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管理制度完善，明确岗位及成员职责，规章制度张贴上墙。</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5</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没有建立管理制度或未明确岗位及成员职责的不得分，没有在明显处张贴规章制度的扣2分。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4" w:type="dxa"/>
            <w:vMerge w:val="continue"/>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每年及时报送工作计划、总结及相关材料。</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5</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未报送的不得分；报送材料不及时或质量低的扣2分。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4" w:type="dxa"/>
            <w:vMerge w:val="restart"/>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技术攻关</w:t>
            </w: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参与本单位技术改造或技术革新。</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10</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未开展的不得分；每开展一项得2分，最高10分。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4" w:type="dxa"/>
            <w:vMerge w:val="continue"/>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工作室技术成果获技术专利。</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5</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每获1项得3分，最高5分。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4" w:type="dxa"/>
            <w:vMerge w:val="continue"/>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总结推广技术成果，解决生产难题，产生一定经济效益。</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5</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开展1项并产生效益得2分，最高5分。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Merge w:val="restart"/>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带徒传艺</w:t>
            </w: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建立师带徒机制，签订带徒协议，每年开展带徒传艺工作，并建立学员花名册。</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10</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建立培训花名册的得2分；每培养1人得1分，最高10分。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4" w:type="dxa"/>
            <w:vMerge w:val="continue"/>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每年开展高技能人才培养工作，并建立学员花名册。</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10</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建立培训花名册的得2分；每培养1人得2分，最高10分。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4" w:type="dxa"/>
            <w:vMerge w:val="restart"/>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加分项</w:t>
            </w: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开展业内技术交流会、课题研讨会或展示活动。</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5</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开展活动1次得1分。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4" w:type="dxa"/>
            <w:vMerge w:val="continue"/>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工作室获奖情况。</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5</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工作室成员每获得一项，得2分，最高5分。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4" w:type="dxa"/>
            <w:vMerge w:val="continue"/>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其他业绩。</w:t>
            </w: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5</w:t>
            </w:r>
          </w:p>
        </w:tc>
        <w:tc>
          <w:tcPr>
            <w:tcW w:w="3490" w:type="dxa"/>
            <w:vAlign w:val="center"/>
          </w:tcPr>
          <w:p>
            <w:pPr>
              <w:widowControl/>
              <w:jc w:val="left"/>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视工作室其他业绩情况酌情给分。</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14"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合  计</w:t>
            </w:r>
          </w:p>
        </w:tc>
        <w:tc>
          <w:tcPr>
            <w:tcW w:w="3433" w:type="dxa"/>
            <w:vAlign w:val="center"/>
          </w:tcPr>
          <w:p>
            <w:pPr>
              <w:widowControl/>
              <w:jc w:val="left"/>
              <w:rPr>
                <w:rFonts w:eastAsia="仿宋_GB2312" w:cs="宋体"/>
                <w:color w:val="000000" w:themeColor="text1"/>
                <w:kern w:val="0"/>
                <w:sz w:val="22"/>
                <w:szCs w:val="22"/>
                <w14:textFill>
                  <w14:solidFill>
                    <w14:schemeClr w14:val="tx1"/>
                  </w14:solidFill>
                </w14:textFill>
              </w:rPr>
            </w:pPr>
          </w:p>
        </w:tc>
        <w:tc>
          <w:tcPr>
            <w:tcW w:w="546"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100</w:t>
            </w:r>
          </w:p>
        </w:tc>
        <w:tc>
          <w:tcPr>
            <w:tcW w:w="3490" w:type="dxa"/>
            <w:vAlign w:val="center"/>
          </w:tcPr>
          <w:p>
            <w:pPr>
              <w:widowControl/>
              <w:jc w:val="center"/>
              <w:rPr>
                <w:rFonts w:eastAsia="仿宋_GB2312" w:cs="宋体"/>
                <w:color w:val="000000" w:themeColor="text1"/>
                <w:kern w:val="0"/>
                <w:sz w:val="22"/>
                <w:szCs w:val="22"/>
                <w14:textFill>
                  <w14:solidFill>
                    <w14:schemeClr w14:val="tx1"/>
                  </w14:solidFill>
                </w14:textFill>
              </w:rPr>
            </w:pPr>
            <w:r>
              <w:rPr>
                <w:rFonts w:hint="eastAsia" w:eastAsia="仿宋_GB2312" w:cs="宋体"/>
                <w:color w:val="000000" w:themeColor="text1"/>
                <w:kern w:val="0"/>
                <w:sz w:val="22"/>
                <w:szCs w:val="22"/>
                <w14:textFill>
                  <w14:solidFill>
                    <w14:schemeClr w14:val="tx1"/>
                  </w14:solidFill>
                </w14:textFill>
              </w:rPr>
              <w:t>　</w:t>
            </w:r>
          </w:p>
        </w:tc>
        <w:tc>
          <w:tcPr>
            <w:tcW w:w="921" w:type="dxa"/>
            <w:vAlign w:val="center"/>
          </w:tcPr>
          <w:p>
            <w:pPr>
              <w:widowControl/>
              <w:jc w:val="center"/>
              <w:rPr>
                <w:rFonts w:eastAsia="仿宋_GB2312" w:cs="宋体"/>
                <w:color w:val="000000" w:themeColor="text1"/>
                <w:kern w:val="0"/>
                <w:sz w:val="22"/>
                <w:szCs w:val="22"/>
                <w14:textFill>
                  <w14:solidFill>
                    <w14:schemeClr w14:val="tx1"/>
                  </w14:solidFill>
                </w14:textFill>
              </w:rPr>
            </w:pPr>
          </w:p>
        </w:tc>
      </w:tr>
    </w:tbl>
    <w:p>
      <w:pPr>
        <w:rPr>
          <w:color w:val="000000" w:themeColor="text1"/>
          <w14:textFill>
            <w14:solidFill>
              <w14:schemeClr w14:val="tx1"/>
            </w14:solidFill>
          </w14:textFill>
        </w:rPr>
      </w:pPr>
    </w:p>
    <w:p>
      <w:pPr>
        <w:rPr>
          <w:rFonts w:hint="eastAsia"/>
        </w:rPr>
      </w:pPr>
    </w:p>
    <w:sectPr>
      <w:footerReference r:id="rId3" w:type="default"/>
      <w:pgSz w:w="11906" w:h="16838"/>
      <w:pgMar w:top="1417" w:right="1587" w:bottom="1247" w:left="1587" w:header="851" w:footer="850" w:gutter="0"/>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744389"/>
    <w:rsid w:val="28ED68E3"/>
    <w:rsid w:val="2FF6100D"/>
    <w:rsid w:val="2FF6986A"/>
    <w:rsid w:val="36D6BBB7"/>
    <w:rsid w:val="3AB63ADE"/>
    <w:rsid w:val="5BDF10AE"/>
    <w:rsid w:val="5C2209F2"/>
    <w:rsid w:val="7ECBCFD2"/>
    <w:rsid w:val="BCF3A9B7"/>
    <w:rsid w:val="BFD734E8"/>
    <w:rsid w:val="BFF00C2F"/>
    <w:rsid w:val="CD39A821"/>
    <w:rsid w:val="E9B3E645"/>
    <w:rsid w:val="EDFDA3F9"/>
    <w:rsid w:val="EFEAB66F"/>
    <w:rsid w:val="FB90B3DE"/>
    <w:rsid w:val="FCEFE84F"/>
    <w:rsid w:val="FFFF9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4001</Words>
  <Characters>4196</Characters>
  <Lines>1</Lines>
  <Paragraphs>1</Paragraphs>
  <TotalTime>5</TotalTime>
  <ScaleCrop>false</ScaleCrop>
  <LinksUpToDate>false</LinksUpToDate>
  <CharactersWithSpaces>4287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linhong</dc:creator>
  <cp:lastModifiedBy>琦琦乖乖的</cp:lastModifiedBy>
  <cp:lastPrinted>2005-02-22T07:04:00Z</cp:lastPrinted>
  <dcterms:modified xsi:type="dcterms:W3CDTF">2022-12-12T10:18:23Z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6A6F54EABD764B84A25182CCFE7333C3</vt:lpwstr>
  </property>
</Properties>
</file>