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1053B">
      <w:pPr>
        <w:pStyle w:val="2"/>
        <w:adjustRightInd/>
        <w:spacing w:before="0" w:line="500" w:lineRule="exact"/>
        <w:ind w:firstLine="0" w:firstLineChars="0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</w:p>
    <w:p w14:paraId="68FFBD49">
      <w:pPr>
        <w:spacing w:before="156" w:beforeLines="50" w:line="600" w:lineRule="exact"/>
        <w:jc w:val="center"/>
        <w:rPr>
          <w:rFonts w:eastAsia="方正小标宋简体"/>
          <w:spacing w:val="-8"/>
          <w:sz w:val="44"/>
          <w:szCs w:val="44"/>
        </w:rPr>
      </w:pPr>
      <w:r>
        <w:rPr>
          <w:rFonts w:eastAsia="方正小标宋简体"/>
          <w:spacing w:val="-8"/>
          <w:sz w:val="44"/>
          <w:szCs w:val="44"/>
        </w:rPr>
        <w:t>全国一、二级注册建筑师资格考试</w:t>
      </w:r>
    </w:p>
    <w:p w14:paraId="7F71A444">
      <w:pPr>
        <w:spacing w:after="312" w:afterLines="100" w:line="600" w:lineRule="exact"/>
        <w:jc w:val="center"/>
        <w:rPr>
          <w:rFonts w:eastAsia="方正小标宋简体"/>
          <w:spacing w:val="-8"/>
          <w:sz w:val="44"/>
          <w:szCs w:val="44"/>
        </w:rPr>
      </w:pPr>
      <w:r>
        <w:rPr>
          <w:rFonts w:eastAsia="方正小标宋简体"/>
          <w:spacing w:val="-8"/>
          <w:sz w:val="44"/>
          <w:szCs w:val="44"/>
        </w:rPr>
        <w:t>报考专业说明</w:t>
      </w:r>
    </w:p>
    <w:p w14:paraId="7F80A781"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根据《中华人民共和国注册建筑师条例实施细则》（中华人民共和国建设部令第167号）、《普通高等学校本科专业目录》（1998年版、2012年版、2020年版）、《普通高等学校高职高专教育指导性专业目录》（2004年版）、《中等职业学校专业目录》（2010年版）等相关规定，关于全国一、二级注册建筑师资格考试报考专业说明如下：</w:t>
      </w:r>
    </w:p>
    <w:p w14:paraId="647D9002">
      <w:pPr>
        <w:spacing w:line="600" w:lineRule="exact"/>
        <w:ind w:firstLine="658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一、报考专业</w:t>
      </w:r>
    </w:p>
    <w:p w14:paraId="2162D66B">
      <w:pPr>
        <w:spacing w:line="600" w:lineRule="exact"/>
        <w:ind w:firstLine="640" w:firstLineChars="20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（一）一级注册建筑师</w:t>
      </w:r>
    </w:p>
    <w:p w14:paraId="721EB0B0"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“</w:t>
      </w:r>
      <w:r>
        <w:rPr>
          <w:rFonts w:eastAsia="仿宋"/>
          <w:sz w:val="32"/>
          <w:szCs w:val="32"/>
        </w:rPr>
        <w:t>建筑学</w:t>
      </w:r>
      <w:r>
        <w:rPr>
          <w:rFonts w:hint="eastAsia" w:eastAsia="仿宋"/>
          <w:sz w:val="32"/>
          <w:szCs w:val="32"/>
        </w:rPr>
        <w:t>”</w:t>
      </w:r>
      <w:r>
        <w:rPr>
          <w:rFonts w:eastAsia="仿宋"/>
          <w:sz w:val="32"/>
          <w:szCs w:val="32"/>
        </w:rPr>
        <w:t>：包括建筑学、建筑设计技术（原建筑设计）</w:t>
      </w:r>
    </w:p>
    <w:p w14:paraId="30DA8C27"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“</w:t>
      </w:r>
      <w:r>
        <w:rPr>
          <w:rFonts w:eastAsia="仿宋"/>
          <w:sz w:val="32"/>
          <w:szCs w:val="32"/>
        </w:rPr>
        <w:t>相近专业</w:t>
      </w:r>
      <w:r>
        <w:rPr>
          <w:rFonts w:hint="eastAsia" w:eastAsia="仿宋"/>
          <w:sz w:val="32"/>
          <w:szCs w:val="32"/>
        </w:rPr>
        <w:t>”</w:t>
      </w:r>
      <w:r>
        <w:rPr>
          <w:rFonts w:eastAsia="仿宋"/>
          <w:sz w:val="32"/>
          <w:szCs w:val="32"/>
        </w:rPr>
        <w:t>：包括城乡规划（原城市规划）、土木工程（原建筑工程、原工业与民用建筑工程）、风景园林、环境设计（原环境艺术、原环境艺术设计）、</w:t>
      </w:r>
      <w:r>
        <w:rPr>
          <w:rFonts w:eastAsia="仿宋"/>
          <w:kern w:val="0"/>
          <w:sz w:val="32"/>
          <w:szCs w:val="32"/>
        </w:rPr>
        <w:t>历史建筑保护工程</w:t>
      </w:r>
    </w:p>
    <w:p w14:paraId="019FED8E">
      <w:pPr>
        <w:spacing w:line="600" w:lineRule="exact"/>
        <w:ind w:firstLine="640" w:firstLineChars="200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（二）二级注册建筑师</w:t>
      </w:r>
    </w:p>
    <w:p w14:paraId="66EACCFA"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“建筑学”</w:t>
      </w:r>
      <w:r>
        <w:rPr>
          <w:rFonts w:eastAsia="仿宋"/>
          <w:sz w:val="32"/>
          <w:szCs w:val="32"/>
        </w:rPr>
        <w:t>：包括建筑学、建筑设计技术（原建筑设计）</w:t>
      </w:r>
    </w:p>
    <w:p w14:paraId="02A2EA26"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“相近专业”</w:t>
      </w:r>
      <w:r>
        <w:rPr>
          <w:rFonts w:eastAsia="仿宋"/>
          <w:sz w:val="32"/>
          <w:szCs w:val="32"/>
        </w:rPr>
        <w:t>：本科及以上包括城乡规划（原城市规划）、土木工程（原建筑工程、原工业与民用建筑工程）、风景园林、环境设计（原环境艺术、原环境艺术设计）、</w:t>
      </w:r>
      <w:r>
        <w:rPr>
          <w:rFonts w:eastAsia="仿宋"/>
          <w:kern w:val="0"/>
          <w:sz w:val="32"/>
          <w:szCs w:val="32"/>
        </w:rPr>
        <w:t>历史建筑保护工程</w:t>
      </w:r>
      <w:r>
        <w:rPr>
          <w:rFonts w:eastAsia="仿宋"/>
          <w:sz w:val="32"/>
          <w:szCs w:val="32"/>
        </w:rPr>
        <w:t>；专科包括建筑装饰工程技术（原建筑装饰技术）</w:t>
      </w:r>
      <w:r>
        <w:rPr>
          <w:rFonts w:eastAsia="仿宋"/>
          <w:bCs/>
          <w:sz w:val="32"/>
          <w:szCs w:val="32"/>
        </w:rPr>
        <w:t>、中国古建筑工程技术、</w:t>
      </w:r>
      <w:r>
        <w:rPr>
          <w:rFonts w:eastAsia="仿宋"/>
          <w:sz w:val="32"/>
          <w:szCs w:val="32"/>
        </w:rPr>
        <w:t>环境艺术设计（原环境艺术）、园林工程技术（原风景园林）、城镇规划（原城乡规划）、建筑工程技术（原房屋建筑工程）；中专包括建筑工程施工（原工业与民用建筑）、建筑装饰、古建筑修缮与仿建（原古建筑营造与修缮）、城镇建设</w:t>
      </w:r>
    </w:p>
    <w:p w14:paraId="4AD88E6C">
      <w:pPr>
        <w:spacing w:line="600" w:lineRule="exact"/>
        <w:ind w:firstLine="658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二、由于教育部专业名称调整及高校自设专业的影响，难以列举所有专业名称。专业名称不在本列举范围内的，可由报考人员提供学校专业课程设置、培养计划等材料，按下列情况审核处理：</w:t>
      </w:r>
    </w:p>
    <w:p w14:paraId="149BC70F">
      <w:pPr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（一）主干课程设置及学时与建筑学专业一致，可参照建筑学专业相关规定报考</w:t>
      </w:r>
    </w:p>
    <w:p w14:paraId="4877DC0C">
      <w:pPr>
        <w:spacing w:line="600" w:lineRule="exact"/>
        <w:ind w:firstLine="640" w:firstLineChars="200"/>
        <w:rPr>
          <w:rFonts w:eastAsia="仿宋"/>
          <w:spacing w:val="-6"/>
          <w:sz w:val="32"/>
          <w:szCs w:val="32"/>
        </w:rPr>
      </w:pPr>
      <w:r>
        <w:rPr>
          <w:rFonts w:eastAsia="仿宋"/>
          <w:sz w:val="32"/>
          <w:szCs w:val="32"/>
        </w:rPr>
        <w:t>（二）</w:t>
      </w:r>
      <w:r>
        <w:rPr>
          <w:rFonts w:eastAsia="仿宋"/>
          <w:spacing w:val="-6"/>
          <w:sz w:val="32"/>
          <w:szCs w:val="32"/>
        </w:rPr>
        <w:t>多数主干课程设置及学时与建筑学专业一致，可参照相近专业相关规定报考</w:t>
      </w:r>
    </w:p>
    <w:p w14:paraId="0C1770C4">
      <w:pPr>
        <w:spacing w:line="600" w:lineRule="exact"/>
        <w:ind w:firstLine="640" w:firstLineChars="200"/>
      </w:pPr>
      <w:r>
        <w:rPr>
          <w:rFonts w:eastAsia="仿宋"/>
          <w:sz w:val="32"/>
          <w:szCs w:val="32"/>
        </w:rPr>
        <w:t>（三）主干课程设置及学时与相近专业基本一致，可参照相近专业相关规定报考</w:t>
      </w:r>
    </w:p>
    <w:sectPr>
      <w:footerReference r:id="rId3" w:type="default"/>
      <w:footerReference r:id="rId4" w:type="even"/>
      <w:pgSz w:w="11906" w:h="16838"/>
      <w:pgMar w:top="2268" w:right="1587" w:bottom="1440" w:left="1587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0A20F">
    <w:pPr>
      <w:pStyle w:val="3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―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―</w:t>
    </w:r>
  </w:p>
  <w:p w14:paraId="27B0BBE5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83FF4"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04295D1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D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djustRightInd w:val="0"/>
      <w:snapToGrid w:val="0"/>
      <w:spacing w:before="100" w:line="500" w:lineRule="atLeast"/>
      <w:ind w:firstLine="280" w:firstLineChars="100"/>
    </w:pPr>
    <w:rPr>
      <w:rFonts w:ascii="宋体" w:hAnsi="华文仿宋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2025-02-19T08:17:38Z</dcterms:created>
  <dc:creator>Administrator</dc:creator>
  <cp:lastModifiedBy>WPS_1725264623</cp:lastModifiedBy>
  <dcterms:modified xsi:type="dcterms:W3CDTF">2025-02-19T08:18:09Z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eyJoZGlkIjoiZmM0OTlhYTY3MjBlZDJhNzI4YjA1YzgzMTg0NmQ3OGIiLCJ1c2VySWQiOiIxNjI5MTU1OTg3In0=</vt:lpwstr>
  </property>
  <property fmtid="{D5CDD505-2E9C-101B-9397-08002B2CF9AE}" pid="4" name="ICV">
    <vt:lpwstr>3D41252575074663A2E5B9AC8687679D_12</vt:lpwstr>
  </property>
</Properties>
</file>