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10.xml" ContentType="application/vnd.openxmlformats-officedocument.customXmlProperties+xml"/>
  <Override PartName="/customXml/itemProps215.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06.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07" w:rsidRDefault="0088669C">
      <w:pPr>
        <w:ind w:firstLine="560"/>
        <w:outlineLvl w:val="3"/>
      </w:pPr>
      <w:bookmarkStart w:id="0" w:name="_Toc126832569"/>
      <w:r>
        <w:rPr>
          <w:rFonts w:ascii="方正仿宋_GBK" w:eastAsia="方正仿宋_GBK" w:hAnsi="方正仿宋_GBK" w:cs="方正仿宋_GBK"/>
          <w:color w:val="000000"/>
          <w:sz w:val="28"/>
        </w:rPr>
        <w:t>97.社保经办大厅运转经费绩效目标表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社保经办大厅运转经费</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1324.00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1324.00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保障系统经办大厅区域安全保卫、电器电路等正常运转及部分分中心物业管理费。</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1.保障中心系统各业务经办大厅、业务辅助办公区域安全保卫、电气电路、空调系统正常运转。</w:t>
            </w:r>
            <w:r>
              <w:tab/>
            </w:r>
            <w:r>
              <w:tab/>
            </w:r>
            <w:r>
              <w:tab/>
            </w:r>
            <w:r>
              <w:tab/>
            </w:r>
            <w:r>
              <w:tab/>
            </w:r>
            <w:r>
              <w:tab/>
            </w:r>
          </w:p>
          <w:p w:rsidR="00D40407" w:rsidRDefault="0088669C">
            <w:pPr>
              <w:pStyle w:val="20"/>
            </w:pPr>
            <w:r>
              <w:t>2.保障河东、红桥、东丽、塘沽分中心物业管理费。</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物业服务验收合格率</w:t>
            </w:r>
          </w:p>
        </w:tc>
        <w:tc>
          <w:tcPr>
            <w:tcW w:w="3430" w:type="dxa"/>
            <w:vAlign w:val="center"/>
          </w:tcPr>
          <w:p w:rsidR="00D40407" w:rsidRDefault="0088669C">
            <w:pPr>
              <w:pStyle w:val="20"/>
            </w:pPr>
            <w:r>
              <w:t>物业服务验收合格率</w:t>
            </w:r>
          </w:p>
        </w:tc>
        <w:tc>
          <w:tcPr>
            <w:tcW w:w="2551" w:type="dxa"/>
            <w:vAlign w:val="center"/>
          </w:tcPr>
          <w:p w:rsidR="00D40407" w:rsidRDefault="0088669C">
            <w:pPr>
              <w:pStyle w:val="20"/>
            </w:pPr>
            <w:r>
              <w:t>100百分比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电气电路及空调机组正常运转率</w:t>
            </w:r>
          </w:p>
        </w:tc>
        <w:tc>
          <w:tcPr>
            <w:tcW w:w="3430" w:type="dxa"/>
            <w:vAlign w:val="center"/>
          </w:tcPr>
          <w:p w:rsidR="00D40407" w:rsidRDefault="0088669C">
            <w:pPr>
              <w:pStyle w:val="20"/>
            </w:pPr>
            <w:r>
              <w:t>电气电路及空调机组正常运转率</w:t>
            </w:r>
          </w:p>
        </w:tc>
        <w:tc>
          <w:tcPr>
            <w:tcW w:w="2551" w:type="dxa"/>
            <w:vAlign w:val="center"/>
          </w:tcPr>
          <w:p w:rsidR="00D40407" w:rsidRDefault="0088669C">
            <w:pPr>
              <w:pStyle w:val="20"/>
            </w:pPr>
            <w:r>
              <w:t>100百分比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办公秩序保障率</w:t>
            </w:r>
          </w:p>
        </w:tc>
        <w:tc>
          <w:tcPr>
            <w:tcW w:w="3430" w:type="dxa"/>
            <w:vAlign w:val="center"/>
          </w:tcPr>
          <w:p w:rsidR="00D40407" w:rsidRDefault="0088669C">
            <w:pPr>
              <w:pStyle w:val="20"/>
            </w:pPr>
            <w:r>
              <w:t>办公秩序保障率</w:t>
            </w:r>
          </w:p>
        </w:tc>
        <w:tc>
          <w:tcPr>
            <w:tcW w:w="2551" w:type="dxa"/>
            <w:vAlign w:val="center"/>
          </w:tcPr>
          <w:p w:rsidR="00D40407" w:rsidRDefault="0088669C">
            <w:pPr>
              <w:pStyle w:val="20"/>
            </w:pPr>
            <w:r>
              <w:t>100百分比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提供产品及服务所需成本的控制情况</w:t>
            </w:r>
          </w:p>
        </w:tc>
        <w:tc>
          <w:tcPr>
            <w:tcW w:w="3430" w:type="dxa"/>
            <w:vAlign w:val="center"/>
          </w:tcPr>
          <w:p w:rsidR="00D40407" w:rsidRDefault="0088669C">
            <w:pPr>
              <w:pStyle w:val="20"/>
            </w:pPr>
            <w:r>
              <w:t>保安服务费用</w:t>
            </w:r>
          </w:p>
        </w:tc>
        <w:tc>
          <w:tcPr>
            <w:tcW w:w="2551" w:type="dxa"/>
            <w:vAlign w:val="center"/>
          </w:tcPr>
          <w:p w:rsidR="00D40407" w:rsidRDefault="0088669C">
            <w:pPr>
              <w:pStyle w:val="20"/>
            </w:pPr>
            <w:r>
              <w:t>≤753万元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提供产品及服务所需成本的控制情况</w:t>
            </w:r>
          </w:p>
        </w:tc>
        <w:tc>
          <w:tcPr>
            <w:tcW w:w="3430" w:type="dxa"/>
            <w:vAlign w:val="center"/>
          </w:tcPr>
          <w:p w:rsidR="00D40407" w:rsidRDefault="0088669C">
            <w:pPr>
              <w:pStyle w:val="20"/>
            </w:pPr>
            <w:r>
              <w:t>电工及空调机组服务费用</w:t>
            </w:r>
          </w:p>
        </w:tc>
        <w:tc>
          <w:tcPr>
            <w:tcW w:w="2551" w:type="dxa"/>
            <w:vAlign w:val="center"/>
          </w:tcPr>
          <w:p w:rsidR="00D40407" w:rsidRDefault="0088669C">
            <w:pPr>
              <w:pStyle w:val="20"/>
            </w:pPr>
            <w:r>
              <w:t>≤279万元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提供产品及服务所需成本的控制情况</w:t>
            </w:r>
          </w:p>
        </w:tc>
        <w:tc>
          <w:tcPr>
            <w:tcW w:w="3430" w:type="dxa"/>
            <w:vAlign w:val="center"/>
          </w:tcPr>
          <w:p w:rsidR="00D40407" w:rsidRDefault="0088669C">
            <w:pPr>
              <w:pStyle w:val="20"/>
            </w:pPr>
            <w:r>
              <w:t>物业服务费用</w:t>
            </w:r>
          </w:p>
        </w:tc>
        <w:tc>
          <w:tcPr>
            <w:tcW w:w="2551" w:type="dxa"/>
            <w:vAlign w:val="center"/>
          </w:tcPr>
          <w:p w:rsidR="00D40407" w:rsidRDefault="0088669C">
            <w:pPr>
              <w:pStyle w:val="20"/>
            </w:pPr>
            <w:r>
              <w:t>≤292万元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服务人数数量</w:t>
            </w:r>
          </w:p>
        </w:tc>
        <w:tc>
          <w:tcPr>
            <w:tcW w:w="3430" w:type="dxa"/>
            <w:vAlign w:val="center"/>
          </w:tcPr>
          <w:p w:rsidR="00D40407" w:rsidRDefault="0088669C">
            <w:pPr>
              <w:pStyle w:val="20"/>
            </w:pPr>
            <w:r>
              <w:t>服务人数数量</w:t>
            </w:r>
          </w:p>
        </w:tc>
        <w:tc>
          <w:tcPr>
            <w:tcW w:w="2551" w:type="dxa"/>
            <w:vAlign w:val="center"/>
          </w:tcPr>
          <w:p w:rsidR="00D40407" w:rsidRDefault="0088669C">
            <w:pPr>
              <w:pStyle w:val="20"/>
            </w:pPr>
            <w:r>
              <w:t>≥180人</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预算资金支出时效</w:t>
            </w:r>
          </w:p>
        </w:tc>
        <w:tc>
          <w:tcPr>
            <w:tcW w:w="3430" w:type="dxa"/>
            <w:vAlign w:val="center"/>
          </w:tcPr>
          <w:p w:rsidR="00D40407" w:rsidRDefault="0088669C">
            <w:pPr>
              <w:pStyle w:val="20"/>
            </w:pPr>
            <w:r>
              <w:t>预算资金支出时效</w:t>
            </w:r>
          </w:p>
        </w:tc>
        <w:tc>
          <w:tcPr>
            <w:tcW w:w="2551" w:type="dxa"/>
            <w:vAlign w:val="center"/>
          </w:tcPr>
          <w:p w:rsidR="00D40407" w:rsidRDefault="0088669C">
            <w:pPr>
              <w:pStyle w:val="20"/>
            </w:pPr>
            <w:r>
              <w:t>按照合同约定时间支付资金，分步骤实施采购验收。</w:t>
            </w:r>
          </w:p>
        </w:tc>
      </w:tr>
      <w:tr w:rsidR="00D76F4A" w:rsidTr="00D76F4A">
        <w:trPr>
          <w:trHeight w:val="369"/>
          <w:jc w:val="center"/>
        </w:trPr>
        <w:tc>
          <w:tcPr>
            <w:tcW w:w="1276" w:type="dxa"/>
            <w:vAlign w:val="center"/>
          </w:tcPr>
          <w:p w:rsidR="00D40407" w:rsidRDefault="0088669C">
            <w:pPr>
              <w:pStyle w:val="30"/>
            </w:pPr>
            <w:r>
              <w:t>效益指标</w:t>
            </w:r>
          </w:p>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改善工作环境</w:t>
            </w:r>
          </w:p>
        </w:tc>
        <w:tc>
          <w:tcPr>
            <w:tcW w:w="3430" w:type="dxa"/>
            <w:vAlign w:val="center"/>
          </w:tcPr>
          <w:p w:rsidR="00D40407" w:rsidRDefault="0088669C">
            <w:pPr>
              <w:pStyle w:val="20"/>
            </w:pPr>
            <w:r>
              <w:t>社保经办大厅工作环境改善</w:t>
            </w:r>
          </w:p>
        </w:tc>
        <w:tc>
          <w:tcPr>
            <w:tcW w:w="2551" w:type="dxa"/>
            <w:vAlign w:val="center"/>
          </w:tcPr>
          <w:p w:rsidR="00D40407" w:rsidRDefault="0088669C">
            <w:pPr>
              <w:pStyle w:val="20"/>
            </w:pPr>
            <w:r>
              <w:t>工作环境得到改善，业务经办正常运转</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服务对象满意度</w:t>
            </w:r>
          </w:p>
        </w:tc>
        <w:tc>
          <w:tcPr>
            <w:tcW w:w="3430" w:type="dxa"/>
            <w:vAlign w:val="center"/>
          </w:tcPr>
          <w:p w:rsidR="00D40407" w:rsidRDefault="0088669C">
            <w:pPr>
              <w:pStyle w:val="20"/>
            </w:pPr>
            <w:r>
              <w:t>社保经办大厅工作人员满意度</w:t>
            </w:r>
          </w:p>
        </w:tc>
        <w:tc>
          <w:tcPr>
            <w:tcW w:w="2551" w:type="dxa"/>
            <w:vAlign w:val="center"/>
          </w:tcPr>
          <w:p w:rsidR="00D40407" w:rsidRDefault="0088669C">
            <w:pPr>
              <w:pStyle w:val="20"/>
            </w:pPr>
            <w:r>
              <w:t>≥95百分比</w:t>
            </w:r>
          </w:p>
        </w:tc>
      </w:tr>
    </w:tbl>
    <w:p w:rsidR="00D40407" w:rsidRDefault="00D40407">
      <w:pPr>
        <w:sectPr w:rsidR="00D40407">
          <w:footerReference w:type="even" r:id="rId225"/>
          <w:footerReference w:type="default" r:id="rId226"/>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1" w:name="_Toc126832570"/>
      <w:r>
        <w:rPr>
          <w:rFonts w:ascii="方正仿宋_GBK" w:eastAsia="方正仿宋_GBK" w:hAnsi="方正仿宋_GBK" w:cs="方正仿宋_GBK"/>
          <w:color w:val="000000"/>
          <w:sz w:val="28"/>
        </w:rPr>
        <w:t>98.劳动能力鉴定经费绩效目标表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劳动能力鉴定经费</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84.10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84.10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组织医学专家对申请人伤病情况进行确认，确保申请人享受相关待遇。</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1.按照文件规定，组织医学专家对申请人伤病情况进行确认，确保申请人享受相关待遇。</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申请鉴定人数完成率</w:t>
            </w:r>
          </w:p>
        </w:tc>
        <w:tc>
          <w:tcPr>
            <w:tcW w:w="3430" w:type="dxa"/>
            <w:vAlign w:val="center"/>
          </w:tcPr>
          <w:p w:rsidR="00D40407" w:rsidRDefault="0088669C">
            <w:pPr>
              <w:pStyle w:val="20"/>
            </w:pPr>
            <w:r>
              <w:t>申请鉴定人数完成率</w:t>
            </w:r>
          </w:p>
        </w:tc>
        <w:tc>
          <w:tcPr>
            <w:tcW w:w="2551" w:type="dxa"/>
            <w:vAlign w:val="center"/>
          </w:tcPr>
          <w:p w:rsidR="00D40407" w:rsidRDefault="0088669C">
            <w:pPr>
              <w:pStyle w:val="20"/>
            </w:pPr>
            <w:r>
              <w:t>100百分比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申请人员人均鉴定成本</w:t>
            </w:r>
          </w:p>
        </w:tc>
        <w:tc>
          <w:tcPr>
            <w:tcW w:w="3430" w:type="dxa"/>
            <w:vAlign w:val="center"/>
          </w:tcPr>
          <w:p w:rsidR="00D40407" w:rsidRDefault="0088669C">
            <w:pPr>
              <w:pStyle w:val="20"/>
            </w:pPr>
            <w:r>
              <w:t>申请人员人均鉴定成本</w:t>
            </w:r>
          </w:p>
        </w:tc>
        <w:tc>
          <w:tcPr>
            <w:tcW w:w="2551" w:type="dxa"/>
            <w:vAlign w:val="center"/>
          </w:tcPr>
          <w:p w:rsidR="00D40407" w:rsidRDefault="0088669C">
            <w:pPr>
              <w:pStyle w:val="20"/>
            </w:pPr>
            <w:r>
              <w:t>≤500元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申请鉴定人数</w:t>
            </w:r>
          </w:p>
        </w:tc>
        <w:tc>
          <w:tcPr>
            <w:tcW w:w="3430" w:type="dxa"/>
            <w:vAlign w:val="center"/>
          </w:tcPr>
          <w:p w:rsidR="00D40407" w:rsidRDefault="0088669C">
            <w:pPr>
              <w:pStyle w:val="20"/>
            </w:pPr>
            <w:r>
              <w:t>申请鉴定人数</w:t>
            </w:r>
          </w:p>
        </w:tc>
        <w:tc>
          <w:tcPr>
            <w:tcW w:w="2551" w:type="dxa"/>
            <w:vAlign w:val="center"/>
          </w:tcPr>
          <w:p w:rsidR="00D40407" w:rsidRDefault="0088669C">
            <w:pPr>
              <w:pStyle w:val="20"/>
            </w:pPr>
            <w:r>
              <w:t>≥1800人次</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项目资金支出时效</w:t>
            </w:r>
          </w:p>
        </w:tc>
        <w:tc>
          <w:tcPr>
            <w:tcW w:w="3430" w:type="dxa"/>
            <w:vAlign w:val="center"/>
          </w:tcPr>
          <w:p w:rsidR="00D40407" w:rsidRDefault="0088669C">
            <w:pPr>
              <w:pStyle w:val="20"/>
            </w:pPr>
            <w:r>
              <w:t>项目资金支出时效</w:t>
            </w:r>
          </w:p>
        </w:tc>
        <w:tc>
          <w:tcPr>
            <w:tcW w:w="2551" w:type="dxa"/>
            <w:vAlign w:val="center"/>
          </w:tcPr>
          <w:p w:rsidR="00D40407" w:rsidRDefault="0088669C">
            <w:pPr>
              <w:pStyle w:val="20"/>
            </w:pPr>
            <w:r>
              <w:t>上半年按鉴定场地租赁协议支付费用，鉴定评审费按照实际鉴定情况据实支付。</w:t>
            </w:r>
          </w:p>
        </w:tc>
      </w:tr>
      <w:tr w:rsidR="00D76F4A" w:rsidTr="00D76F4A">
        <w:trPr>
          <w:trHeight w:val="369"/>
          <w:jc w:val="center"/>
        </w:trPr>
        <w:tc>
          <w:tcPr>
            <w:tcW w:w="1276" w:type="dxa"/>
            <w:vAlign w:val="center"/>
          </w:tcPr>
          <w:p w:rsidR="00D40407" w:rsidRDefault="0088669C">
            <w:pPr>
              <w:pStyle w:val="30"/>
            </w:pPr>
            <w:r>
              <w:t>效益指标</w:t>
            </w:r>
          </w:p>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组织鉴定出具结论</w:t>
            </w:r>
          </w:p>
        </w:tc>
        <w:tc>
          <w:tcPr>
            <w:tcW w:w="3430" w:type="dxa"/>
            <w:vAlign w:val="center"/>
          </w:tcPr>
          <w:p w:rsidR="00D40407" w:rsidRDefault="0088669C">
            <w:pPr>
              <w:pStyle w:val="20"/>
            </w:pPr>
            <w:r>
              <w:t>及时组织鉴定出具鉴定结论</w:t>
            </w:r>
          </w:p>
        </w:tc>
        <w:tc>
          <w:tcPr>
            <w:tcW w:w="2551" w:type="dxa"/>
            <w:vAlign w:val="center"/>
          </w:tcPr>
          <w:p w:rsidR="00D40407" w:rsidRDefault="0088669C">
            <w:pPr>
              <w:pStyle w:val="20"/>
            </w:pPr>
            <w:r>
              <w:t>符合条件人员及时享受政策</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鉴定对象满意度</w:t>
            </w:r>
          </w:p>
        </w:tc>
        <w:tc>
          <w:tcPr>
            <w:tcW w:w="3430" w:type="dxa"/>
            <w:vAlign w:val="center"/>
          </w:tcPr>
          <w:p w:rsidR="00D40407" w:rsidRDefault="0088669C">
            <w:pPr>
              <w:pStyle w:val="20"/>
            </w:pPr>
            <w:r>
              <w:t>鉴定对象满意度</w:t>
            </w:r>
          </w:p>
        </w:tc>
        <w:tc>
          <w:tcPr>
            <w:tcW w:w="2551" w:type="dxa"/>
            <w:vAlign w:val="center"/>
          </w:tcPr>
          <w:p w:rsidR="00D40407" w:rsidRDefault="0088669C">
            <w:pPr>
              <w:pStyle w:val="20"/>
            </w:pPr>
            <w:r>
              <w:t>≥95百分比</w:t>
            </w:r>
          </w:p>
        </w:tc>
      </w:tr>
    </w:tbl>
    <w:p w:rsidR="00D40407" w:rsidRDefault="00D40407">
      <w:pPr>
        <w:sectPr w:rsidR="00D40407">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2" w:name="_Toc126832571"/>
      <w:r>
        <w:rPr>
          <w:rFonts w:ascii="方正仿宋_GBK" w:eastAsia="方正仿宋_GBK" w:hAnsi="方正仿宋_GBK" w:cs="方正仿宋_GBK"/>
          <w:color w:val="000000"/>
          <w:sz w:val="28"/>
        </w:rPr>
        <w:t>99.社保卡制卡工本费绩效目标表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社保卡制卡工本费</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500.00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500.00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保障社保卡制卡工本费正常结算，并延续推进社保卡供卡服务。</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1.保障社保卡制卡工本费正常结算，并延续推进社保卡供卡服务。</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保障社保卡正常供应</w:t>
            </w:r>
          </w:p>
        </w:tc>
        <w:tc>
          <w:tcPr>
            <w:tcW w:w="3430" w:type="dxa"/>
            <w:vAlign w:val="center"/>
          </w:tcPr>
          <w:p w:rsidR="00D40407" w:rsidRDefault="0088669C">
            <w:pPr>
              <w:pStyle w:val="20"/>
            </w:pPr>
            <w:r>
              <w:t>保障社保卡正常供应</w:t>
            </w:r>
          </w:p>
        </w:tc>
        <w:tc>
          <w:tcPr>
            <w:tcW w:w="2551" w:type="dxa"/>
            <w:vAlign w:val="center"/>
          </w:tcPr>
          <w:p w:rsidR="00D40407" w:rsidRDefault="0088669C">
            <w:pPr>
              <w:pStyle w:val="20"/>
            </w:pPr>
            <w:r>
              <w:t>保障社保卡正常供应，卡片质量满足使用要求</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社保卡制卡工本费</w:t>
            </w:r>
          </w:p>
        </w:tc>
        <w:tc>
          <w:tcPr>
            <w:tcW w:w="3430" w:type="dxa"/>
            <w:vAlign w:val="center"/>
          </w:tcPr>
          <w:p w:rsidR="00D40407" w:rsidRDefault="0088669C">
            <w:pPr>
              <w:pStyle w:val="20"/>
            </w:pPr>
            <w:r>
              <w:t>社保卡制卡单位平均成本</w:t>
            </w:r>
          </w:p>
        </w:tc>
        <w:tc>
          <w:tcPr>
            <w:tcW w:w="2551" w:type="dxa"/>
            <w:vAlign w:val="center"/>
          </w:tcPr>
          <w:p w:rsidR="00D40407" w:rsidRDefault="0088669C">
            <w:pPr>
              <w:pStyle w:val="20"/>
            </w:pPr>
            <w:r>
              <w:t>10.65万元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社保卡片数量</w:t>
            </w:r>
          </w:p>
        </w:tc>
        <w:tc>
          <w:tcPr>
            <w:tcW w:w="3430" w:type="dxa"/>
            <w:vAlign w:val="center"/>
          </w:tcPr>
          <w:p w:rsidR="00D40407" w:rsidRDefault="0088669C">
            <w:pPr>
              <w:pStyle w:val="20"/>
            </w:pPr>
            <w:r>
              <w:t>社保卡片数量</w:t>
            </w:r>
          </w:p>
        </w:tc>
        <w:tc>
          <w:tcPr>
            <w:tcW w:w="2551" w:type="dxa"/>
            <w:vAlign w:val="center"/>
          </w:tcPr>
          <w:p w:rsidR="00D40407" w:rsidRDefault="0088669C">
            <w:pPr>
              <w:pStyle w:val="20"/>
            </w:pPr>
            <w:r>
              <w:t>469483张</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社保卡制卡费用支付时效</w:t>
            </w:r>
          </w:p>
        </w:tc>
        <w:tc>
          <w:tcPr>
            <w:tcW w:w="3430" w:type="dxa"/>
            <w:vAlign w:val="center"/>
          </w:tcPr>
          <w:p w:rsidR="00D40407" w:rsidRDefault="0088669C">
            <w:pPr>
              <w:pStyle w:val="20"/>
            </w:pPr>
            <w:r>
              <w:t>社保卡制卡费用支付时效</w:t>
            </w:r>
          </w:p>
        </w:tc>
        <w:tc>
          <w:tcPr>
            <w:tcW w:w="2551" w:type="dxa"/>
            <w:vAlign w:val="center"/>
          </w:tcPr>
          <w:p w:rsidR="00D40407" w:rsidRDefault="0088669C">
            <w:pPr>
              <w:pStyle w:val="20"/>
            </w:pPr>
            <w:r>
              <w:t>2023年6月底前支付工本费欠款</w:t>
            </w:r>
          </w:p>
        </w:tc>
      </w:tr>
      <w:tr w:rsidR="00D76F4A" w:rsidTr="00D76F4A">
        <w:trPr>
          <w:trHeight w:val="369"/>
          <w:jc w:val="center"/>
        </w:trPr>
        <w:tc>
          <w:tcPr>
            <w:tcW w:w="1276" w:type="dxa"/>
            <w:vMerge w:val="restart"/>
            <w:vAlign w:val="center"/>
          </w:tcPr>
          <w:p w:rsidR="00D40407" w:rsidRDefault="0088669C">
            <w:pPr>
              <w:pStyle w:val="30"/>
            </w:pPr>
            <w:r>
              <w:t>效益指标</w:t>
            </w:r>
          </w:p>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申报社保卡人员待遇享受</w:t>
            </w:r>
          </w:p>
        </w:tc>
        <w:tc>
          <w:tcPr>
            <w:tcW w:w="3430" w:type="dxa"/>
            <w:vAlign w:val="center"/>
          </w:tcPr>
          <w:p w:rsidR="00D40407" w:rsidRDefault="0088669C">
            <w:pPr>
              <w:pStyle w:val="20"/>
            </w:pPr>
            <w:r>
              <w:t>申报社保卡人员待遇享受</w:t>
            </w:r>
          </w:p>
        </w:tc>
        <w:tc>
          <w:tcPr>
            <w:tcW w:w="2551" w:type="dxa"/>
            <w:vAlign w:val="center"/>
          </w:tcPr>
          <w:p w:rsidR="00D40407" w:rsidRDefault="0088669C">
            <w:pPr>
              <w:pStyle w:val="20"/>
            </w:pPr>
            <w:r>
              <w:t>保障社保社保卡人员依法及时享受社保待遇，提升百姓用卡体验</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可持续影响指标</w:t>
            </w:r>
          </w:p>
        </w:tc>
        <w:tc>
          <w:tcPr>
            <w:tcW w:w="1332" w:type="dxa"/>
            <w:vAlign w:val="center"/>
          </w:tcPr>
          <w:p w:rsidR="00D40407" w:rsidRDefault="0088669C">
            <w:pPr>
              <w:pStyle w:val="20"/>
            </w:pPr>
            <w:r>
              <w:t>社保卡可持续使用年限</w:t>
            </w:r>
          </w:p>
        </w:tc>
        <w:tc>
          <w:tcPr>
            <w:tcW w:w="3430" w:type="dxa"/>
            <w:vAlign w:val="center"/>
          </w:tcPr>
          <w:p w:rsidR="00D40407" w:rsidRDefault="0088669C">
            <w:pPr>
              <w:pStyle w:val="20"/>
            </w:pPr>
            <w:r>
              <w:t>社保卡可持续使用年限</w:t>
            </w:r>
          </w:p>
        </w:tc>
        <w:tc>
          <w:tcPr>
            <w:tcW w:w="2551" w:type="dxa"/>
            <w:vAlign w:val="center"/>
          </w:tcPr>
          <w:p w:rsidR="00D40407" w:rsidRDefault="0088669C">
            <w:pPr>
              <w:pStyle w:val="20"/>
            </w:pPr>
            <w:r>
              <w:t>无人为因素损坏的情况下可持续使用超过5年</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服务对象满意度</w:t>
            </w:r>
          </w:p>
          <w:p w:rsidR="00D40407" w:rsidRDefault="00D40407">
            <w:pPr>
              <w:pStyle w:val="20"/>
            </w:pPr>
          </w:p>
          <w:p w:rsidR="00D40407" w:rsidRDefault="00D40407">
            <w:pPr>
              <w:pStyle w:val="20"/>
            </w:pPr>
          </w:p>
        </w:tc>
        <w:tc>
          <w:tcPr>
            <w:tcW w:w="3430" w:type="dxa"/>
            <w:vAlign w:val="center"/>
          </w:tcPr>
          <w:p w:rsidR="00D40407" w:rsidRDefault="0088669C">
            <w:pPr>
              <w:pStyle w:val="20"/>
            </w:pPr>
            <w:r>
              <w:t>申报社保卡人员满意度</w:t>
            </w:r>
          </w:p>
          <w:p w:rsidR="00D40407" w:rsidRDefault="00D40407">
            <w:pPr>
              <w:pStyle w:val="20"/>
            </w:pPr>
          </w:p>
        </w:tc>
        <w:tc>
          <w:tcPr>
            <w:tcW w:w="2551" w:type="dxa"/>
            <w:vAlign w:val="center"/>
          </w:tcPr>
          <w:p w:rsidR="00D40407" w:rsidRDefault="0088669C">
            <w:pPr>
              <w:pStyle w:val="20"/>
            </w:pPr>
            <w:r>
              <w:t>≥95百分比</w:t>
            </w:r>
          </w:p>
        </w:tc>
      </w:tr>
    </w:tbl>
    <w:p w:rsidR="00D40407" w:rsidRDefault="00D40407">
      <w:pPr>
        <w:sectPr w:rsidR="00D40407">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3" w:name="_Toc126832572"/>
      <w:r>
        <w:rPr>
          <w:rFonts w:ascii="方正仿宋_GBK" w:eastAsia="方正仿宋_GBK" w:hAnsi="方正仿宋_GBK" w:cs="方正仿宋_GBK"/>
          <w:color w:val="000000"/>
          <w:sz w:val="28"/>
        </w:rPr>
        <w:t>100.社保业务经办经费绩效目标表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社保业务经办经费</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125.00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125.00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用于保障保险跨统筹转移邮寄、养老待遇资格认证、欠缴邮寄及公告等社保业务经办各项工作。</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1.在对其它方式无法送达的稽核文书以报纸公告的方式进行送达，依法履行法定职责，维护参保职工合法权益。</w:t>
            </w:r>
          </w:p>
          <w:p w:rsidR="00D40407" w:rsidRDefault="0088669C">
            <w:pPr>
              <w:pStyle w:val="20"/>
            </w:pPr>
            <w:r>
              <w:t>2.按照《关于进一步规范社会保险费征收管理的通知》（津社保〔2017〕33号 ）规定，用人单位因各种原因未能按时足额缴纳社会保险费且未在下个结算期内补缴的，其未缴纳的社会保险费纳入欠缴管理。并以催缴、催告、限期补缴、查询和划拨、担保、申请法院强制执行等方式进行追缴。催缴环节需每月19日，统一对上月未缴纳社会保险费的单位生成欠缴台账和《社会保险欠缴情况告知书》，对此文书进行邮寄。</w:t>
            </w:r>
          </w:p>
          <w:p w:rsidR="00D40407" w:rsidRDefault="0088669C">
            <w:pPr>
              <w:pStyle w:val="20"/>
            </w:pPr>
            <w:r>
              <w:t>3.通过短信、公告形式，对养老待遇享受人认证结果、认证提示及其他社会保险事项进行告知。</w:t>
            </w:r>
          </w:p>
          <w:p w:rsidR="00D40407" w:rsidRDefault="0088669C">
            <w:pPr>
              <w:pStyle w:val="20"/>
            </w:pPr>
            <w:r>
              <w:t>4.通过数据比对，获取精准电话信息，建立养老待遇享受人基础信息数据库。</w:t>
            </w:r>
          </w:p>
          <w:p w:rsidR="00D40407" w:rsidRDefault="0088669C">
            <w:pPr>
              <w:pStyle w:val="20"/>
            </w:pPr>
            <w:r>
              <w:t>5.通过上门方式完成养老保险待遇享受人资格认证，对是否具备待遇领取资格进行确认。</w:t>
            </w:r>
          </w:p>
          <w:p w:rsidR="00D40407" w:rsidRDefault="0088669C">
            <w:pPr>
              <w:pStyle w:val="20"/>
            </w:pPr>
            <w:r>
              <w:t>6.对进入资格认证预警期人员寄送挂号信，通知及时完成资格认证</w:t>
            </w:r>
          </w:p>
          <w:p w:rsidR="00D40407" w:rsidRDefault="0088669C">
            <w:pPr>
              <w:pStyle w:val="20"/>
            </w:pPr>
            <w:r>
              <w:t>7.对超未认证人员寄送文书，履行告知义务。</w:t>
            </w:r>
          </w:p>
          <w:p w:rsidR="00D40407" w:rsidRDefault="0088669C">
            <w:pPr>
              <w:pStyle w:val="20"/>
            </w:pPr>
            <w:r>
              <w:t>8.保障养老保险、失业保险转移业务经办过程中与向外省市邮寄相关业务单据的需要。</w:t>
            </w:r>
          </w:p>
          <w:p w:rsidR="00D40407" w:rsidRDefault="0088669C">
            <w:pPr>
              <w:pStyle w:val="20"/>
            </w:pPr>
            <w:r>
              <w:t>9.保障参保群众申请邮寄纸质版个人权益记录单的需求。</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及时告知公告人相关信息</w:t>
            </w:r>
          </w:p>
        </w:tc>
        <w:tc>
          <w:tcPr>
            <w:tcW w:w="3430" w:type="dxa"/>
            <w:vAlign w:val="center"/>
          </w:tcPr>
          <w:p w:rsidR="00D40407" w:rsidRDefault="0088669C">
            <w:pPr>
              <w:pStyle w:val="20"/>
            </w:pPr>
            <w:r>
              <w:t>及时告知公告人相关信息</w:t>
            </w:r>
          </w:p>
        </w:tc>
        <w:tc>
          <w:tcPr>
            <w:tcW w:w="2551" w:type="dxa"/>
            <w:vAlign w:val="center"/>
          </w:tcPr>
          <w:p w:rsidR="00D40407" w:rsidRDefault="0088669C">
            <w:pPr>
              <w:pStyle w:val="20"/>
            </w:pPr>
            <w:r>
              <w:t>及时告知公告人相关信息</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全年邮寄生成欠缴台账单位</w:t>
            </w:r>
          </w:p>
        </w:tc>
        <w:tc>
          <w:tcPr>
            <w:tcW w:w="3430" w:type="dxa"/>
            <w:vAlign w:val="center"/>
          </w:tcPr>
          <w:p w:rsidR="00D40407" w:rsidRDefault="0088669C">
            <w:pPr>
              <w:pStyle w:val="20"/>
            </w:pPr>
            <w:r>
              <w:t>生成欠缴台账率</w:t>
            </w:r>
          </w:p>
        </w:tc>
        <w:tc>
          <w:tcPr>
            <w:tcW w:w="2551" w:type="dxa"/>
            <w:vAlign w:val="center"/>
          </w:tcPr>
          <w:p w:rsidR="00D40407" w:rsidRDefault="0088669C">
            <w:pPr>
              <w:pStyle w:val="20"/>
            </w:pPr>
            <w:r>
              <w:t>100百分比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短信送达情况</w:t>
            </w:r>
          </w:p>
        </w:tc>
        <w:tc>
          <w:tcPr>
            <w:tcW w:w="3430" w:type="dxa"/>
            <w:vAlign w:val="center"/>
          </w:tcPr>
          <w:p w:rsidR="00D40407" w:rsidRDefault="0088669C">
            <w:pPr>
              <w:pStyle w:val="20"/>
            </w:pPr>
            <w:r>
              <w:t>资格认证短信成功送达率</w:t>
            </w:r>
          </w:p>
        </w:tc>
        <w:tc>
          <w:tcPr>
            <w:tcW w:w="2551" w:type="dxa"/>
            <w:vAlign w:val="center"/>
          </w:tcPr>
          <w:p w:rsidR="00D40407" w:rsidRDefault="0088669C">
            <w:pPr>
              <w:pStyle w:val="20"/>
            </w:pPr>
            <w:r>
              <w:t>≥95百分比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领取资格确认情况</w:t>
            </w:r>
          </w:p>
        </w:tc>
        <w:tc>
          <w:tcPr>
            <w:tcW w:w="3430" w:type="dxa"/>
            <w:vAlign w:val="center"/>
          </w:tcPr>
          <w:p w:rsidR="00D40407" w:rsidRDefault="0088669C">
            <w:pPr>
              <w:pStyle w:val="20"/>
            </w:pPr>
            <w:r>
              <w:t>对上门认证人员领取资格情况进行确认</w:t>
            </w:r>
          </w:p>
        </w:tc>
        <w:tc>
          <w:tcPr>
            <w:tcW w:w="2551" w:type="dxa"/>
            <w:vAlign w:val="center"/>
          </w:tcPr>
          <w:p w:rsidR="00D40407" w:rsidRDefault="0088669C">
            <w:pPr>
              <w:pStyle w:val="20"/>
            </w:pPr>
            <w:r>
              <w:t>≥95百分比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EMS退回率</w:t>
            </w:r>
          </w:p>
        </w:tc>
        <w:tc>
          <w:tcPr>
            <w:tcW w:w="3430" w:type="dxa"/>
            <w:vAlign w:val="center"/>
          </w:tcPr>
          <w:p w:rsidR="00D40407" w:rsidRDefault="0088669C">
            <w:pPr>
              <w:pStyle w:val="20"/>
            </w:pPr>
            <w:r>
              <w:t>认证暂停告知文书EMS送达情况</w:t>
            </w:r>
          </w:p>
        </w:tc>
        <w:tc>
          <w:tcPr>
            <w:tcW w:w="2551" w:type="dxa"/>
            <w:vAlign w:val="center"/>
          </w:tcPr>
          <w:p w:rsidR="00D40407" w:rsidRDefault="0088669C">
            <w:pPr>
              <w:pStyle w:val="20"/>
            </w:pPr>
            <w:r>
              <w:t>≤10百分比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信件投递准确性</w:t>
            </w:r>
          </w:p>
        </w:tc>
        <w:tc>
          <w:tcPr>
            <w:tcW w:w="3430" w:type="dxa"/>
            <w:vAlign w:val="center"/>
          </w:tcPr>
          <w:p w:rsidR="00D40407" w:rsidRDefault="0088669C">
            <w:pPr>
              <w:pStyle w:val="20"/>
            </w:pPr>
            <w:r>
              <w:t>跨统筹转移信件投递准确性</w:t>
            </w:r>
          </w:p>
        </w:tc>
        <w:tc>
          <w:tcPr>
            <w:tcW w:w="2551" w:type="dxa"/>
            <w:vAlign w:val="center"/>
          </w:tcPr>
          <w:p w:rsidR="00D40407" w:rsidRDefault="0088669C">
            <w:pPr>
              <w:pStyle w:val="20"/>
            </w:pPr>
            <w:r>
              <w:t>保障邮寄信函按时收悉、邮寄信息（表单号）及时反馈、退信信函及时反馈情况</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公告报纸版面费</w:t>
            </w:r>
          </w:p>
        </w:tc>
        <w:tc>
          <w:tcPr>
            <w:tcW w:w="3430" w:type="dxa"/>
            <w:vAlign w:val="center"/>
          </w:tcPr>
          <w:p w:rsidR="00D40407" w:rsidRDefault="0088669C">
            <w:pPr>
              <w:pStyle w:val="20"/>
            </w:pPr>
            <w:r>
              <w:t>公告报纸版面费</w:t>
            </w:r>
          </w:p>
        </w:tc>
        <w:tc>
          <w:tcPr>
            <w:tcW w:w="2551" w:type="dxa"/>
            <w:vAlign w:val="center"/>
          </w:tcPr>
          <w:p w:rsidR="00D40407" w:rsidRDefault="0088669C">
            <w:pPr>
              <w:pStyle w:val="20"/>
            </w:pPr>
            <w:r>
              <w:t>≤80万元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全年邮寄费用</w:t>
            </w:r>
          </w:p>
        </w:tc>
        <w:tc>
          <w:tcPr>
            <w:tcW w:w="3430" w:type="dxa"/>
            <w:vAlign w:val="center"/>
          </w:tcPr>
          <w:p w:rsidR="00D40407" w:rsidRDefault="0088669C">
            <w:pPr>
              <w:pStyle w:val="20"/>
            </w:pPr>
            <w:r>
              <w:t>全年邮寄费用</w:t>
            </w:r>
          </w:p>
        </w:tc>
        <w:tc>
          <w:tcPr>
            <w:tcW w:w="2551" w:type="dxa"/>
            <w:vAlign w:val="center"/>
          </w:tcPr>
          <w:p w:rsidR="00D40407" w:rsidRDefault="0088669C">
            <w:pPr>
              <w:pStyle w:val="20"/>
            </w:pPr>
            <w:r>
              <w:t>≤35万元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上门认证工作经费</w:t>
            </w:r>
          </w:p>
        </w:tc>
        <w:tc>
          <w:tcPr>
            <w:tcW w:w="3430" w:type="dxa"/>
            <w:vAlign w:val="center"/>
          </w:tcPr>
          <w:p w:rsidR="00D40407" w:rsidRDefault="0088669C">
            <w:pPr>
              <w:pStyle w:val="20"/>
            </w:pPr>
            <w:r>
              <w:t>上门认证经费使用情况</w:t>
            </w:r>
          </w:p>
        </w:tc>
        <w:tc>
          <w:tcPr>
            <w:tcW w:w="2551" w:type="dxa"/>
            <w:vAlign w:val="center"/>
          </w:tcPr>
          <w:p w:rsidR="00D40407" w:rsidRDefault="0088669C">
            <w:pPr>
              <w:pStyle w:val="20"/>
            </w:pPr>
            <w:r>
              <w:t>≤10万元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预计报纸版面费数</w:t>
            </w:r>
          </w:p>
        </w:tc>
        <w:tc>
          <w:tcPr>
            <w:tcW w:w="3430" w:type="dxa"/>
            <w:vAlign w:val="center"/>
          </w:tcPr>
          <w:p w:rsidR="00D40407" w:rsidRDefault="0088669C">
            <w:pPr>
              <w:pStyle w:val="20"/>
            </w:pPr>
            <w:r>
              <w:t>预计公告笔数</w:t>
            </w:r>
          </w:p>
        </w:tc>
        <w:tc>
          <w:tcPr>
            <w:tcW w:w="2551" w:type="dxa"/>
            <w:vAlign w:val="center"/>
          </w:tcPr>
          <w:p w:rsidR="00D40407" w:rsidRDefault="0088669C">
            <w:pPr>
              <w:pStyle w:val="20"/>
            </w:pPr>
            <w:r>
              <w:t>≥150笔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预计邮寄件数</w:t>
            </w:r>
          </w:p>
        </w:tc>
        <w:tc>
          <w:tcPr>
            <w:tcW w:w="3430" w:type="dxa"/>
            <w:vAlign w:val="center"/>
          </w:tcPr>
          <w:p w:rsidR="00D40407" w:rsidRDefault="0088669C">
            <w:pPr>
              <w:pStyle w:val="20"/>
            </w:pPr>
            <w:r>
              <w:t>预计邮寄件数</w:t>
            </w:r>
          </w:p>
        </w:tc>
        <w:tc>
          <w:tcPr>
            <w:tcW w:w="2551" w:type="dxa"/>
            <w:vAlign w:val="center"/>
          </w:tcPr>
          <w:p w:rsidR="00D40407" w:rsidRDefault="0088669C">
            <w:pPr>
              <w:pStyle w:val="20"/>
            </w:pPr>
            <w:r>
              <w:t>≥15000封</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短信发送情况</w:t>
            </w:r>
          </w:p>
        </w:tc>
        <w:tc>
          <w:tcPr>
            <w:tcW w:w="3430" w:type="dxa"/>
            <w:vAlign w:val="center"/>
          </w:tcPr>
          <w:p w:rsidR="00D40407" w:rsidRDefault="0088669C">
            <w:pPr>
              <w:pStyle w:val="20"/>
            </w:pPr>
            <w:r>
              <w:t>认证结果告知及提示短信发送条数</w:t>
            </w:r>
          </w:p>
        </w:tc>
        <w:tc>
          <w:tcPr>
            <w:tcW w:w="2551" w:type="dxa"/>
            <w:vAlign w:val="center"/>
          </w:tcPr>
          <w:p w:rsidR="00D40407" w:rsidRDefault="0088669C">
            <w:pPr>
              <w:pStyle w:val="20"/>
            </w:pPr>
            <w:r>
              <w:t>≥6500000条</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上门完成认证人数</w:t>
            </w:r>
          </w:p>
        </w:tc>
        <w:tc>
          <w:tcPr>
            <w:tcW w:w="3430" w:type="dxa"/>
            <w:vAlign w:val="center"/>
          </w:tcPr>
          <w:p w:rsidR="00D40407" w:rsidRDefault="0088669C">
            <w:pPr>
              <w:pStyle w:val="20"/>
            </w:pPr>
            <w:r>
              <w:t>上门认证人员情况</w:t>
            </w:r>
          </w:p>
        </w:tc>
        <w:tc>
          <w:tcPr>
            <w:tcW w:w="2551" w:type="dxa"/>
            <w:vAlign w:val="center"/>
          </w:tcPr>
          <w:p w:rsidR="00D40407" w:rsidRDefault="0088669C">
            <w:pPr>
              <w:pStyle w:val="20"/>
            </w:pPr>
            <w:r>
              <w:t>≤1万人</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挂号信寄送数</w:t>
            </w:r>
          </w:p>
        </w:tc>
        <w:tc>
          <w:tcPr>
            <w:tcW w:w="3430" w:type="dxa"/>
            <w:vAlign w:val="center"/>
          </w:tcPr>
          <w:p w:rsidR="00D40407" w:rsidRDefault="0088669C">
            <w:pPr>
              <w:pStyle w:val="20"/>
            </w:pPr>
            <w:r>
              <w:t>认证提示挂号信寄送数量</w:t>
            </w:r>
          </w:p>
        </w:tc>
        <w:tc>
          <w:tcPr>
            <w:tcW w:w="2551" w:type="dxa"/>
            <w:vAlign w:val="center"/>
          </w:tcPr>
          <w:p w:rsidR="00D40407" w:rsidRDefault="0088669C">
            <w:pPr>
              <w:pStyle w:val="20"/>
            </w:pPr>
            <w:r>
              <w:t>≤3.1万封</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转移业务信函及个人权益单数量</w:t>
            </w:r>
          </w:p>
        </w:tc>
        <w:tc>
          <w:tcPr>
            <w:tcW w:w="3430" w:type="dxa"/>
            <w:vAlign w:val="center"/>
          </w:tcPr>
          <w:p w:rsidR="00D40407" w:rsidRDefault="0088669C">
            <w:pPr>
              <w:pStyle w:val="20"/>
            </w:pPr>
            <w:r>
              <w:t>转移业务信函及个人权益单数量</w:t>
            </w:r>
          </w:p>
        </w:tc>
        <w:tc>
          <w:tcPr>
            <w:tcW w:w="2551" w:type="dxa"/>
            <w:vAlign w:val="center"/>
          </w:tcPr>
          <w:p w:rsidR="00D40407" w:rsidRDefault="0088669C">
            <w:pPr>
              <w:pStyle w:val="20"/>
            </w:pPr>
            <w:r>
              <w:t>≤3000封</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资金支出时效</w:t>
            </w:r>
          </w:p>
        </w:tc>
        <w:tc>
          <w:tcPr>
            <w:tcW w:w="3430" w:type="dxa"/>
            <w:vAlign w:val="center"/>
          </w:tcPr>
          <w:p w:rsidR="00D40407" w:rsidRDefault="0088669C">
            <w:pPr>
              <w:pStyle w:val="20"/>
            </w:pPr>
            <w:r>
              <w:t>资金支出时效</w:t>
            </w:r>
          </w:p>
        </w:tc>
        <w:tc>
          <w:tcPr>
            <w:tcW w:w="2551" w:type="dxa"/>
            <w:vAlign w:val="center"/>
          </w:tcPr>
          <w:p w:rsidR="00D40407" w:rsidRDefault="0088669C">
            <w:pPr>
              <w:pStyle w:val="20"/>
            </w:pPr>
            <w:r>
              <w:t>按各项业务工作实施进度支付资金，及时办理支付手续</w:t>
            </w:r>
          </w:p>
        </w:tc>
      </w:tr>
      <w:tr w:rsidR="00D76F4A" w:rsidTr="00D76F4A">
        <w:trPr>
          <w:trHeight w:val="369"/>
          <w:jc w:val="center"/>
        </w:trPr>
        <w:tc>
          <w:tcPr>
            <w:tcW w:w="1276" w:type="dxa"/>
            <w:vMerge w:val="restart"/>
            <w:vAlign w:val="center"/>
          </w:tcPr>
          <w:p w:rsidR="00D40407" w:rsidRDefault="0088669C">
            <w:pPr>
              <w:pStyle w:val="30"/>
            </w:pPr>
            <w:r>
              <w:t>效益指标</w:t>
            </w:r>
          </w:p>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维护职工参保权益</w:t>
            </w:r>
          </w:p>
        </w:tc>
        <w:tc>
          <w:tcPr>
            <w:tcW w:w="3430" w:type="dxa"/>
            <w:vAlign w:val="center"/>
          </w:tcPr>
          <w:p w:rsidR="00D40407" w:rsidRDefault="0088669C">
            <w:pPr>
              <w:pStyle w:val="20"/>
            </w:pPr>
            <w:r>
              <w:t>维护职工参保权益</w:t>
            </w:r>
          </w:p>
        </w:tc>
        <w:tc>
          <w:tcPr>
            <w:tcW w:w="2551" w:type="dxa"/>
            <w:vAlign w:val="center"/>
          </w:tcPr>
          <w:p w:rsidR="00D40407" w:rsidRDefault="0088669C">
            <w:pPr>
              <w:pStyle w:val="20"/>
            </w:pPr>
            <w:r>
              <w:t>维护职工参保权益</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防范养老金冒领情形</w:t>
            </w:r>
          </w:p>
        </w:tc>
        <w:tc>
          <w:tcPr>
            <w:tcW w:w="3430" w:type="dxa"/>
            <w:vAlign w:val="center"/>
          </w:tcPr>
          <w:p w:rsidR="00D40407" w:rsidRDefault="0088669C">
            <w:pPr>
              <w:pStyle w:val="20"/>
            </w:pPr>
            <w:r>
              <w:t>通过开展养老资格认证防范养老金冒领情形的发生</w:t>
            </w:r>
          </w:p>
        </w:tc>
        <w:tc>
          <w:tcPr>
            <w:tcW w:w="2551" w:type="dxa"/>
            <w:vAlign w:val="center"/>
          </w:tcPr>
          <w:p w:rsidR="00D40407" w:rsidRDefault="0088669C">
            <w:pPr>
              <w:pStyle w:val="20"/>
            </w:pPr>
            <w:r>
              <w:t>防范养老金冒领</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服务效能</w:t>
            </w:r>
          </w:p>
        </w:tc>
        <w:tc>
          <w:tcPr>
            <w:tcW w:w="3430" w:type="dxa"/>
            <w:vAlign w:val="center"/>
          </w:tcPr>
          <w:p w:rsidR="00D40407" w:rsidRDefault="0088669C">
            <w:pPr>
              <w:pStyle w:val="20"/>
            </w:pPr>
            <w:r>
              <w:t>服务效能</w:t>
            </w:r>
          </w:p>
        </w:tc>
        <w:tc>
          <w:tcPr>
            <w:tcW w:w="2551" w:type="dxa"/>
            <w:vAlign w:val="center"/>
          </w:tcPr>
          <w:p w:rsidR="00D40407" w:rsidRDefault="0088669C">
            <w:pPr>
              <w:pStyle w:val="20"/>
            </w:pPr>
            <w:r>
              <w:t>减少服务对象往返次数，保障社保权益，促进人才流动，优化营商环境。</w:t>
            </w:r>
          </w:p>
        </w:tc>
      </w:tr>
      <w:tr w:rsidR="00D76F4A" w:rsidTr="00D76F4A">
        <w:trPr>
          <w:trHeight w:val="369"/>
          <w:jc w:val="center"/>
        </w:trPr>
        <w:tc>
          <w:tcPr>
            <w:tcW w:w="1276" w:type="dxa"/>
            <w:vMerge w:val="restart"/>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受益群体满意度</w:t>
            </w:r>
          </w:p>
        </w:tc>
        <w:tc>
          <w:tcPr>
            <w:tcW w:w="3430" w:type="dxa"/>
            <w:vAlign w:val="center"/>
          </w:tcPr>
          <w:p w:rsidR="00D40407" w:rsidRDefault="0088669C">
            <w:pPr>
              <w:pStyle w:val="20"/>
            </w:pPr>
            <w:r>
              <w:t>受益群体满意度</w:t>
            </w:r>
          </w:p>
        </w:tc>
        <w:tc>
          <w:tcPr>
            <w:tcW w:w="2551" w:type="dxa"/>
            <w:vAlign w:val="center"/>
          </w:tcPr>
          <w:p w:rsidR="00D40407" w:rsidRDefault="0088669C">
            <w:pPr>
              <w:pStyle w:val="20"/>
            </w:pPr>
            <w:r>
              <w:t>≥95百分比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投诉比例</w:t>
            </w:r>
          </w:p>
        </w:tc>
        <w:tc>
          <w:tcPr>
            <w:tcW w:w="3430" w:type="dxa"/>
            <w:vAlign w:val="center"/>
          </w:tcPr>
          <w:p w:rsidR="00D40407" w:rsidRDefault="0088669C">
            <w:pPr>
              <w:pStyle w:val="20"/>
            </w:pPr>
            <w:r>
              <w:t>投诉比例</w:t>
            </w:r>
          </w:p>
        </w:tc>
        <w:tc>
          <w:tcPr>
            <w:tcW w:w="2551" w:type="dxa"/>
            <w:vAlign w:val="center"/>
          </w:tcPr>
          <w:p w:rsidR="00D40407" w:rsidRDefault="0088669C">
            <w:pPr>
              <w:pStyle w:val="20"/>
            </w:pPr>
            <w:r>
              <w:t>≤5百分比</w:t>
            </w:r>
          </w:p>
        </w:tc>
      </w:tr>
    </w:tbl>
    <w:p w:rsidR="00D40407" w:rsidRDefault="00D40407">
      <w:pPr>
        <w:sectPr w:rsidR="00D40407">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4" w:name="_Toc126832573"/>
      <w:r>
        <w:rPr>
          <w:rFonts w:ascii="方正仿宋_GBK" w:eastAsia="方正仿宋_GBK" w:hAnsi="方正仿宋_GBK" w:cs="方正仿宋_GBK"/>
          <w:color w:val="000000"/>
          <w:sz w:val="28"/>
        </w:rPr>
        <w:t>101.社保中心干部人事档案数字化加工绩效目标表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社保中心干部人事档案数字化加工</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12.60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12.60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对干部人事档案进行数字化技术规范，保证数字档案的真实性、完整性、可用性和安全性。</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1.通过第三方开展档案扫描及归档服务，使干部人事档案数字图像达到国家标准，保证档案的真实性、完整性、可用性、安全性，确保数字档案与纸质档案一致。</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加工合格率</w:t>
            </w:r>
          </w:p>
        </w:tc>
        <w:tc>
          <w:tcPr>
            <w:tcW w:w="3430" w:type="dxa"/>
            <w:vAlign w:val="center"/>
          </w:tcPr>
          <w:p w:rsidR="00D40407" w:rsidRDefault="0088669C">
            <w:pPr>
              <w:pStyle w:val="20"/>
            </w:pPr>
            <w:r>
              <w:t>加工合格率</w:t>
            </w:r>
          </w:p>
        </w:tc>
        <w:tc>
          <w:tcPr>
            <w:tcW w:w="2551" w:type="dxa"/>
            <w:vAlign w:val="center"/>
          </w:tcPr>
          <w:p w:rsidR="00D40407" w:rsidRDefault="0088669C">
            <w:pPr>
              <w:pStyle w:val="20"/>
            </w:pPr>
            <w:r>
              <w:t>≥95百分比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数字化加工总费用</w:t>
            </w:r>
          </w:p>
        </w:tc>
        <w:tc>
          <w:tcPr>
            <w:tcW w:w="3430" w:type="dxa"/>
            <w:vAlign w:val="center"/>
          </w:tcPr>
          <w:p w:rsidR="00D40407" w:rsidRDefault="0088669C">
            <w:pPr>
              <w:pStyle w:val="20"/>
            </w:pPr>
            <w:r>
              <w:t>数字化加工总费用</w:t>
            </w:r>
          </w:p>
        </w:tc>
        <w:tc>
          <w:tcPr>
            <w:tcW w:w="2551" w:type="dxa"/>
            <w:vAlign w:val="center"/>
          </w:tcPr>
          <w:p w:rsidR="00D40407" w:rsidRDefault="0088669C">
            <w:pPr>
              <w:pStyle w:val="20"/>
            </w:pPr>
            <w:r>
              <w:t>≤12.6万元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数字化加工人次</w:t>
            </w:r>
          </w:p>
        </w:tc>
        <w:tc>
          <w:tcPr>
            <w:tcW w:w="3430" w:type="dxa"/>
            <w:vAlign w:val="center"/>
          </w:tcPr>
          <w:p w:rsidR="00D40407" w:rsidRDefault="0088669C">
            <w:pPr>
              <w:pStyle w:val="20"/>
            </w:pPr>
            <w:r>
              <w:t>数字化加工人次</w:t>
            </w:r>
          </w:p>
        </w:tc>
        <w:tc>
          <w:tcPr>
            <w:tcW w:w="2551" w:type="dxa"/>
            <w:vAlign w:val="center"/>
          </w:tcPr>
          <w:p w:rsidR="00D40407" w:rsidRDefault="0088669C">
            <w:pPr>
              <w:pStyle w:val="20"/>
            </w:pPr>
            <w:r>
              <w:t>≥1260册</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加工资金支出时效</w:t>
            </w:r>
          </w:p>
        </w:tc>
        <w:tc>
          <w:tcPr>
            <w:tcW w:w="3430" w:type="dxa"/>
            <w:vAlign w:val="center"/>
          </w:tcPr>
          <w:p w:rsidR="00D40407" w:rsidRDefault="0088669C">
            <w:pPr>
              <w:pStyle w:val="20"/>
            </w:pPr>
            <w:r>
              <w:t>加工资金支出时效</w:t>
            </w:r>
          </w:p>
        </w:tc>
        <w:tc>
          <w:tcPr>
            <w:tcW w:w="2551" w:type="dxa"/>
            <w:vAlign w:val="center"/>
          </w:tcPr>
          <w:p w:rsidR="00D40407" w:rsidRDefault="0088669C">
            <w:pPr>
              <w:pStyle w:val="20"/>
            </w:pPr>
            <w:r>
              <w:t>常态化开展档案数字化加工工作，2023年底前完成在册档案加工。</w:t>
            </w:r>
          </w:p>
        </w:tc>
      </w:tr>
      <w:tr w:rsidR="00D76F4A" w:rsidTr="00D76F4A">
        <w:trPr>
          <w:trHeight w:val="369"/>
          <w:jc w:val="center"/>
        </w:trPr>
        <w:tc>
          <w:tcPr>
            <w:tcW w:w="1276" w:type="dxa"/>
            <w:vAlign w:val="center"/>
          </w:tcPr>
          <w:p w:rsidR="00D40407" w:rsidRDefault="0088669C">
            <w:pPr>
              <w:pStyle w:val="30"/>
            </w:pPr>
            <w:r>
              <w:t>效益指标</w:t>
            </w:r>
          </w:p>
        </w:tc>
        <w:tc>
          <w:tcPr>
            <w:tcW w:w="1276" w:type="dxa"/>
            <w:vAlign w:val="center"/>
          </w:tcPr>
          <w:p w:rsidR="00D40407" w:rsidRDefault="0088669C">
            <w:pPr>
              <w:pStyle w:val="20"/>
            </w:pPr>
            <w:r>
              <w:t>可持续影响指标</w:t>
            </w:r>
          </w:p>
        </w:tc>
        <w:tc>
          <w:tcPr>
            <w:tcW w:w="1332" w:type="dxa"/>
            <w:vAlign w:val="center"/>
          </w:tcPr>
          <w:p w:rsidR="00D40407" w:rsidRDefault="0088669C">
            <w:pPr>
              <w:pStyle w:val="20"/>
            </w:pPr>
            <w:r>
              <w:t>已完成数字化保存时长</w:t>
            </w:r>
          </w:p>
        </w:tc>
        <w:tc>
          <w:tcPr>
            <w:tcW w:w="3430" w:type="dxa"/>
            <w:vAlign w:val="center"/>
          </w:tcPr>
          <w:p w:rsidR="00D40407" w:rsidRDefault="0088669C">
            <w:pPr>
              <w:pStyle w:val="20"/>
            </w:pPr>
            <w:r>
              <w:t>已完成数字化保存时长</w:t>
            </w:r>
          </w:p>
        </w:tc>
        <w:tc>
          <w:tcPr>
            <w:tcW w:w="2551" w:type="dxa"/>
            <w:vAlign w:val="center"/>
          </w:tcPr>
          <w:p w:rsidR="00D40407" w:rsidRDefault="0088669C">
            <w:pPr>
              <w:pStyle w:val="20"/>
            </w:pPr>
            <w:r>
              <w:t>≥5年</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服务对象满意度</w:t>
            </w:r>
          </w:p>
        </w:tc>
        <w:tc>
          <w:tcPr>
            <w:tcW w:w="3430" w:type="dxa"/>
            <w:vAlign w:val="center"/>
          </w:tcPr>
          <w:p w:rsidR="00D40407" w:rsidRDefault="0088669C">
            <w:pPr>
              <w:pStyle w:val="20"/>
            </w:pPr>
            <w:r>
              <w:t>购买服务单位满意度</w:t>
            </w:r>
          </w:p>
        </w:tc>
        <w:tc>
          <w:tcPr>
            <w:tcW w:w="2551" w:type="dxa"/>
            <w:vAlign w:val="center"/>
          </w:tcPr>
          <w:p w:rsidR="00D40407" w:rsidRDefault="0088669C">
            <w:pPr>
              <w:pStyle w:val="20"/>
            </w:pPr>
            <w:r>
              <w:t>≥95百分比</w:t>
            </w:r>
          </w:p>
        </w:tc>
      </w:tr>
    </w:tbl>
    <w:p w:rsidR="00D40407" w:rsidRDefault="00D40407">
      <w:pPr>
        <w:sectPr w:rsidR="00D40407">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5" w:name="_Toc126832574"/>
      <w:r>
        <w:rPr>
          <w:rFonts w:ascii="方正仿宋_GBK" w:eastAsia="方正仿宋_GBK" w:hAnsi="方正仿宋_GBK" w:cs="方正仿宋_GBK"/>
          <w:color w:val="000000"/>
          <w:sz w:val="28"/>
        </w:rPr>
        <w:t>102.社保中心工装制作绩效目标表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社保中心工装制作</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10.00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10.00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制作统一标准的经办工装，提升经办窗口形象，规范社保服务水平。</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1.通过订制统一标准的经办工装，持续提升经办窗口形象，规范社保服务标准化。</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产品质量合格率</w:t>
            </w:r>
          </w:p>
        </w:tc>
        <w:tc>
          <w:tcPr>
            <w:tcW w:w="3430" w:type="dxa"/>
            <w:vAlign w:val="center"/>
          </w:tcPr>
          <w:p w:rsidR="00D40407" w:rsidRDefault="0088669C">
            <w:pPr>
              <w:pStyle w:val="20"/>
            </w:pPr>
            <w:r>
              <w:t>工装质量情况</w:t>
            </w:r>
          </w:p>
        </w:tc>
        <w:tc>
          <w:tcPr>
            <w:tcW w:w="2551" w:type="dxa"/>
            <w:vAlign w:val="center"/>
          </w:tcPr>
          <w:p w:rsidR="00D40407" w:rsidRDefault="0088669C">
            <w:pPr>
              <w:pStyle w:val="20"/>
            </w:pPr>
            <w:r>
              <w:t>100百分比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提供产品及服务所需成本的控制情况</w:t>
            </w:r>
          </w:p>
        </w:tc>
        <w:tc>
          <w:tcPr>
            <w:tcW w:w="3430" w:type="dxa"/>
            <w:vAlign w:val="center"/>
          </w:tcPr>
          <w:p w:rsidR="00D40407" w:rsidRDefault="0088669C">
            <w:pPr>
              <w:pStyle w:val="20"/>
            </w:pPr>
            <w:r>
              <w:t>工装单位成本</w:t>
            </w:r>
          </w:p>
        </w:tc>
        <w:tc>
          <w:tcPr>
            <w:tcW w:w="2551" w:type="dxa"/>
            <w:vAlign w:val="center"/>
          </w:tcPr>
          <w:p w:rsidR="00D40407" w:rsidRDefault="0088669C">
            <w:pPr>
              <w:pStyle w:val="20"/>
            </w:pPr>
            <w:r>
              <w:t>≤3000元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提供产品及服务数量</w:t>
            </w:r>
          </w:p>
        </w:tc>
        <w:tc>
          <w:tcPr>
            <w:tcW w:w="3430" w:type="dxa"/>
            <w:vAlign w:val="center"/>
          </w:tcPr>
          <w:p w:rsidR="00D40407" w:rsidRDefault="0088669C">
            <w:pPr>
              <w:pStyle w:val="20"/>
            </w:pPr>
            <w:r>
              <w:t>购置工装数量</w:t>
            </w:r>
          </w:p>
        </w:tc>
        <w:tc>
          <w:tcPr>
            <w:tcW w:w="2551" w:type="dxa"/>
            <w:vAlign w:val="center"/>
          </w:tcPr>
          <w:p w:rsidR="00D40407" w:rsidRDefault="0088669C">
            <w:pPr>
              <w:pStyle w:val="20"/>
            </w:pPr>
            <w:r>
              <w:t>≥30套</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工装购置资金支出时效</w:t>
            </w:r>
          </w:p>
        </w:tc>
        <w:tc>
          <w:tcPr>
            <w:tcW w:w="3430" w:type="dxa"/>
            <w:vAlign w:val="center"/>
          </w:tcPr>
          <w:p w:rsidR="00D40407" w:rsidRDefault="0088669C">
            <w:pPr>
              <w:pStyle w:val="20"/>
            </w:pPr>
            <w:r>
              <w:t>工装购置资金支出时效</w:t>
            </w:r>
          </w:p>
        </w:tc>
        <w:tc>
          <w:tcPr>
            <w:tcW w:w="2551" w:type="dxa"/>
            <w:vAlign w:val="center"/>
          </w:tcPr>
          <w:p w:rsidR="00D40407" w:rsidRDefault="0088669C">
            <w:pPr>
              <w:pStyle w:val="20"/>
            </w:pPr>
            <w:r>
              <w:t>下半年启动工装采购，年内完成量体验收付款手续</w:t>
            </w:r>
          </w:p>
        </w:tc>
      </w:tr>
      <w:tr w:rsidR="00D76F4A" w:rsidTr="00D76F4A">
        <w:trPr>
          <w:trHeight w:val="369"/>
          <w:jc w:val="center"/>
        </w:trPr>
        <w:tc>
          <w:tcPr>
            <w:tcW w:w="1276" w:type="dxa"/>
            <w:vAlign w:val="center"/>
          </w:tcPr>
          <w:p w:rsidR="00D40407" w:rsidRDefault="0088669C">
            <w:pPr>
              <w:pStyle w:val="30"/>
            </w:pPr>
            <w:r>
              <w:t>效益指标</w:t>
            </w:r>
          </w:p>
        </w:tc>
        <w:tc>
          <w:tcPr>
            <w:tcW w:w="1276" w:type="dxa"/>
            <w:vAlign w:val="center"/>
          </w:tcPr>
          <w:p w:rsidR="00D40407" w:rsidRDefault="0088669C">
            <w:pPr>
              <w:pStyle w:val="20"/>
            </w:pPr>
            <w:r>
              <w:t>可持续影响指标</w:t>
            </w:r>
          </w:p>
        </w:tc>
        <w:tc>
          <w:tcPr>
            <w:tcW w:w="1332" w:type="dxa"/>
            <w:vAlign w:val="center"/>
          </w:tcPr>
          <w:p w:rsidR="00D40407" w:rsidRDefault="0088669C">
            <w:pPr>
              <w:pStyle w:val="20"/>
            </w:pPr>
            <w:r>
              <w:t>产品使用年限</w:t>
            </w:r>
          </w:p>
        </w:tc>
        <w:tc>
          <w:tcPr>
            <w:tcW w:w="3430" w:type="dxa"/>
            <w:vAlign w:val="center"/>
          </w:tcPr>
          <w:p w:rsidR="00D40407" w:rsidRDefault="0088669C">
            <w:pPr>
              <w:pStyle w:val="20"/>
            </w:pPr>
            <w:r>
              <w:t>工装使用年限</w:t>
            </w:r>
          </w:p>
        </w:tc>
        <w:tc>
          <w:tcPr>
            <w:tcW w:w="2551" w:type="dxa"/>
            <w:vAlign w:val="center"/>
          </w:tcPr>
          <w:p w:rsidR="00D40407" w:rsidRDefault="0088669C">
            <w:pPr>
              <w:pStyle w:val="20"/>
            </w:pPr>
            <w:r>
              <w:t>≥3年</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使用人员满意度</w:t>
            </w:r>
          </w:p>
        </w:tc>
        <w:tc>
          <w:tcPr>
            <w:tcW w:w="3430" w:type="dxa"/>
            <w:vAlign w:val="center"/>
          </w:tcPr>
          <w:p w:rsidR="00D40407" w:rsidRDefault="0088669C">
            <w:pPr>
              <w:pStyle w:val="20"/>
            </w:pPr>
            <w:r>
              <w:t>经办工作人员满意度</w:t>
            </w:r>
          </w:p>
        </w:tc>
        <w:tc>
          <w:tcPr>
            <w:tcW w:w="2551" w:type="dxa"/>
            <w:vAlign w:val="center"/>
          </w:tcPr>
          <w:p w:rsidR="00D40407" w:rsidRDefault="0088669C">
            <w:pPr>
              <w:pStyle w:val="20"/>
            </w:pPr>
            <w:r>
              <w:t>≥95百分比</w:t>
            </w:r>
          </w:p>
        </w:tc>
      </w:tr>
    </w:tbl>
    <w:p w:rsidR="00D40407" w:rsidRDefault="00D40407">
      <w:pPr>
        <w:sectPr w:rsidR="00D40407">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6" w:name="_Toc126832575"/>
      <w:r>
        <w:rPr>
          <w:rFonts w:ascii="方正仿宋_GBK" w:eastAsia="方正仿宋_GBK" w:hAnsi="方正仿宋_GBK" w:cs="方正仿宋_GBK"/>
          <w:color w:val="000000"/>
          <w:sz w:val="28"/>
        </w:rPr>
        <w:t>103.社保中心经办耗材购置及消防安全维护绩效目标表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社保中心经办耗材购置及消防安全维护</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245.00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245.00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满足业务经办及保密工作耗材需要，对各区保障服务中心（社保分中心）消防设施设备进行维护保养。</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1.满足业务经办及保密工作需要，提高经办服务满意度</w:t>
            </w:r>
          </w:p>
          <w:p w:rsidR="00D40407" w:rsidRDefault="0088669C">
            <w:pPr>
              <w:pStyle w:val="20"/>
            </w:pPr>
            <w:r>
              <w:t>2.对各区保障服务中心（社保分中心）消防设施设备进行维护保养，确保系统消防安全。</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耗材及消防维保合格率</w:t>
            </w:r>
          </w:p>
        </w:tc>
        <w:tc>
          <w:tcPr>
            <w:tcW w:w="3430" w:type="dxa"/>
            <w:vAlign w:val="center"/>
          </w:tcPr>
          <w:p w:rsidR="00D40407" w:rsidRDefault="0088669C">
            <w:pPr>
              <w:pStyle w:val="20"/>
            </w:pPr>
            <w:r>
              <w:t>耗材及消防维保合格率</w:t>
            </w:r>
          </w:p>
        </w:tc>
        <w:tc>
          <w:tcPr>
            <w:tcW w:w="2551" w:type="dxa"/>
            <w:vAlign w:val="center"/>
          </w:tcPr>
          <w:p w:rsidR="00D40407" w:rsidRDefault="0088669C">
            <w:pPr>
              <w:pStyle w:val="20"/>
            </w:pPr>
            <w:r>
              <w:t>100百分比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耗材成本控制情况</w:t>
            </w:r>
          </w:p>
        </w:tc>
        <w:tc>
          <w:tcPr>
            <w:tcW w:w="3430" w:type="dxa"/>
            <w:vAlign w:val="center"/>
          </w:tcPr>
          <w:p w:rsidR="00D40407" w:rsidRDefault="0088669C">
            <w:pPr>
              <w:pStyle w:val="20"/>
            </w:pPr>
            <w:r>
              <w:t>耗材成本控制情况</w:t>
            </w:r>
          </w:p>
        </w:tc>
        <w:tc>
          <w:tcPr>
            <w:tcW w:w="2551" w:type="dxa"/>
            <w:vAlign w:val="center"/>
          </w:tcPr>
          <w:p w:rsidR="00D40407" w:rsidRDefault="0088669C">
            <w:pPr>
              <w:pStyle w:val="20"/>
            </w:pPr>
            <w:r>
              <w:t>≤205万元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消防维保成本控制情况</w:t>
            </w:r>
          </w:p>
        </w:tc>
        <w:tc>
          <w:tcPr>
            <w:tcW w:w="3430" w:type="dxa"/>
            <w:vAlign w:val="center"/>
          </w:tcPr>
          <w:p w:rsidR="00D40407" w:rsidRDefault="0088669C">
            <w:pPr>
              <w:pStyle w:val="20"/>
            </w:pPr>
            <w:r>
              <w:t>消防维保成本控制情况</w:t>
            </w:r>
          </w:p>
        </w:tc>
        <w:tc>
          <w:tcPr>
            <w:tcW w:w="2551" w:type="dxa"/>
            <w:vAlign w:val="center"/>
          </w:tcPr>
          <w:p w:rsidR="00D40407" w:rsidRDefault="0088669C">
            <w:pPr>
              <w:pStyle w:val="20"/>
            </w:pPr>
            <w:r>
              <w:t>≤40万元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购置耗材及消防维保设备数量</w:t>
            </w:r>
          </w:p>
        </w:tc>
        <w:tc>
          <w:tcPr>
            <w:tcW w:w="3430" w:type="dxa"/>
            <w:vAlign w:val="center"/>
          </w:tcPr>
          <w:p w:rsidR="00D40407" w:rsidRDefault="0088669C">
            <w:pPr>
              <w:pStyle w:val="20"/>
            </w:pPr>
            <w:r>
              <w:t>购置耗材及消防维保设备数量</w:t>
            </w:r>
          </w:p>
        </w:tc>
        <w:tc>
          <w:tcPr>
            <w:tcW w:w="2551" w:type="dxa"/>
            <w:vAlign w:val="center"/>
          </w:tcPr>
          <w:p w:rsidR="00D40407" w:rsidRDefault="0088669C">
            <w:pPr>
              <w:pStyle w:val="20"/>
            </w:pPr>
            <w:r>
              <w:t>满足业务经办及消防安全需要</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资金支出时效</w:t>
            </w:r>
          </w:p>
        </w:tc>
        <w:tc>
          <w:tcPr>
            <w:tcW w:w="3430" w:type="dxa"/>
            <w:vAlign w:val="center"/>
          </w:tcPr>
          <w:p w:rsidR="00D40407" w:rsidRDefault="0088669C">
            <w:pPr>
              <w:pStyle w:val="20"/>
            </w:pPr>
            <w:r>
              <w:t>耗材购置及消防维保资金支出时效</w:t>
            </w:r>
          </w:p>
        </w:tc>
        <w:tc>
          <w:tcPr>
            <w:tcW w:w="2551" w:type="dxa"/>
            <w:vAlign w:val="center"/>
          </w:tcPr>
          <w:p w:rsidR="00D40407" w:rsidRDefault="0088669C">
            <w:pPr>
              <w:pStyle w:val="20"/>
            </w:pPr>
            <w:r>
              <w:t>分上下半年两次采购，按合同要求及时组织验收付款</w:t>
            </w:r>
          </w:p>
        </w:tc>
      </w:tr>
      <w:tr w:rsidR="00D76F4A" w:rsidTr="00D76F4A">
        <w:trPr>
          <w:trHeight w:val="369"/>
          <w:jc w:val="center"/>
        </w:trPr>
        <w:tc>
          <w:tcPr>
            <w:tcW w:w="1276" w:type="dxa"/>
            <w:vAlign w:val="center"/>
          </w:tcPr>
          <w:p w:rsidR="00D40407" w:rsidRDefault="0088669C">
            <w:pPr>
              <w:pStyle w:val="30"/>
            </w:pPr>
            <w:r>
              <w:t>效益指标</w:t>
            </w:r>
          </w:p>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保障业务经办及消防安全</w:t>
            </w:r>
          </w:p>
        </w:tc>
        <w:tc>
          <w:tcPr>
            <w:tcW w:w="3430" w:type="dxa"/>
            <w:vAlign w:val="center"/>
          </w:tcPr>
          <w:p w:rsidR="00D40407" w:rsidRDefault="0088669C">
            <w:pPr>
              <w:pStyle w:val="20"/>
            </w:pPr>
            <w:r>
              <w:t>保障业务经办及消防安全</w:t>
            </w:r>
          </w:p>
        </w:tc>
        <w:tc>
          <w:tcPr>
            <w:tcW w:w="2551" w:type="dxa"/>
            <w:vAlign w:val="center"/>
          </w:tcPr>
          <w:p w:rsidR="00D40407" w:rsidRDefault="0088669C">
            <w:pPr>
              <w:pStyle w:val="20"/>
            </w:pPr>
            <w:r>
              <w:t>保障业务正常经办，有效预防消防安全隐患</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使用人员满意度</w:t>
            </w:r>
          </w:p>
        </w:tc>
        <w:tc>
          <w:tcPr>
            <w:tcW w:w="3430" w:type="dxa"/>
            <w:vAlign w:val="center"/>
          </w:tcPr>
          <w:p w:rsidR="00D40407" w:rsidRDefault="0088669C">
            <w:pPr>
              <w:pStyle w:val="20"/>
            </w:pPr>
            <w:r>
              <w:t>使用人员满意度</w:t>
            </w:r>
          </w:p>
        </w:tc>
        <w:tc>
          <w:tcPr>
            <w:tcW w:w="2551" w:type="dxa"/>
            <w:vAlign w:val="center"/>
          </w:tcPr>
          <w:p w:rsidR="00D40407" w:rsidRDefault="0088669C">
            <w:pPr>
              <w:pStyle w:val="20"/>
            </w:pPr>
            <w:r>
              <w:t>≥95百分比</w:t>
            </w:r>
          </w:p>
        </w:tc>
      </w:tr>
    </w:tbl>
    <w:p w:rsidR="00D40407" w:rsidRDefault="00D40407">
      <w:pPr>
        <w:sectPr w:rsidR="00D40407">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7" w:name="_Toc126832576"/>
      <w:r>
        <w:rPr>
          <w:rFonts w:ascii="方正仿宋_GBK" w:eastAsia="方正仿宋_GBK" w:hAnsi="方正仿宋_GBK" w:cs="方正仿宋_GBK"/>
          <w:color w:val="000000"/>
          <w:sz w:val="28"/>
        </w:rPr>
        <w:t>104.社保中心行风建设工作经费绩效目标表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社保中心行风建设工作经费</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26.50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26.50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聘请第三方开展社保中心舆情监测、经办大厅明察暗访及满意度调查等工作，避免舆情风险，提升窗口经办服务水平。</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1.通过聘请第三方机构对中心网络舆情开展监测，按月形成分析报告，确保良好的网络舆论环境。</w:t>
            </w:r>
          </w:p>
          <w:p w:rsidR="00D40407" w:rsidRDefault="0088669C">
            <w:pPr>
              <w:pStyle w:val="20"/>
            </w:pPr>
            <w:r>
              <w:t>2.进一步提升窗口经办服务水平，降低经办投诉率，科学、客观、公正、准确地把握中心经办服务情况，加强各基层单位服务职能，提升服务满意度。</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 xml:space="preserve"> 群众满意度</w:t>
            </w:r>
          </w:p>
        </w:tc>
        <w:tc>
          <w:tcPr>
            <w:tcW w:w="3430" w:type="dxa"/>
            <w:vAlign w:val="center"/>
          </w:tcPr>
          <w:p w:rsidR="00D40407" w:rsidRDefault="0088669C">
            <w:pPr>
              <w:pStyle w:val="20"/>
            </w:pPr>
            <w:r>
              <w:t>群众满意度</w:t>
            </w:r>
          </w:p>
        </w:tc>
        <w:tc>
          <w:tcPr>
            <w:tcW w:w="2551" w:type="dxa"/>
            <w:vAlign w:val="center"/>
          </w:tcPr>
          <w:p w:rsidR="00D40407" w:rsidRDefault="0088669C">
            <w:pPr>
              <w:pStyle w:val="20"/>
            </w:pPr>
            <w:r>
              <w:t>≥90百分比</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舆情分析报告质量</w:t>
            </w:r>
          </w:p>
        </w:tc>
        <w:tc>
          <w:tcPr>
            <w:tcW w:w="3430" w:type="dxa"/>
            <w:vAlign w:val="center"/>
          </w:tcPr>
          <w:p w:rsidR="00D40407" w:rsidRDefault="0088669C">
            <w:pPr>
              <w:pStyle w:val="20"/>
            </w:pPr>
            <w:r>
              <w:t>舆情分析报告质量</w:t>
            </w:r>
          </w:p>
        </w:tc>
        <w:tc>
          <w:tcPr>
            <w:tcW w:w="2551" w:type="dxa"/>
            <w:vAlign w:val="center"/>
          </w:tcPr>
          <w:p w:rsidR="00D40407" w:rsidRDefault="0088669C">
            <w:pPr>
              <w:pStyle w:val="20"/>
            </w:pPr>
            <w:r>
              <w:t>舆情分析报告满足工作需要，有效预防舆情风险。</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舆情监测服务费用</w:t>
            </w:r>
          </w:p>
        </w:tc>
        <w:tc>
          <w:tcPr>
            <w:tcW w:w="3430" w:type="dxa"/>
            <w:vAlign w:val="center"/>
          </w:tcPr>
          <w:p w:rsidR="00D40407" w:rsidRDefault="0088669C">
            <w:pPr>
              <w:pStyle w:val="20"/>
            </w:pPr>
            <w:r>
              <w:t>舆情监测服务费用</w:t>
            </w:r>
          </w:p>
        </w:tc>
        <w:tc>
          <w:tcPr>
            <w:tcW w:w="2551" w:type="dxa"/>
            <w:vAlign w:val="center"/>
          </w:tcPr>
          <w:p w:rsidR="00D40407" w:rsidRDefault="0088669C">
            <w:pPr>
              <w:pStyle w:val="20"/>
            </w:pPr>
            <w:r>
              <w:t>≤6.5万元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明察暗访费用</w:t>
            </w:r>
          </w:p>
        </w:tc>
        <w:tc>
          <w:tcPr>
            <w:tcW w:w="3430" w:type="dxa"/>
            <w:vAlign w:val="center"/>
          </w:tcPr>
          <w:p w:rsidR="00D40407" w:rsidRDefault="0088669C">
            <w:pPr>
              <w:pStyle w:val="20"/>
            </w:pPr>
            <w:r>
              <w:t>明察暗访费用</w:t>
            </w:r>
          </w:p>
        </w:tc>
        <w:tc>
          <w:tcPr>
            <w:tcW w:w="2551" w:type="dxa"/>
            <w:vAlign w:val="center"/>
          </w:tcPr>
          <w:p w:rsidR="00D40407" w:rsidRDefault="0088669C">
            <w:pPr>
              <w:pStyle w:val="20"/>
            </w:pPr>
            <w:r>
              <w:t>≤10万元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满意度调查费用</w:t>
            </w:r>
          </w:p>
        </w:tc>
        <w:tc>
          <w:tcPr>
            <w:tcW w:w="3430" w:type="dxa"/>
            <w:vAlign w:val="center"/>
          </w:tcPr>
          <w:p w:rsidR="00D40407" w:rsidRDefault="0088669C">
            <w:pPr>
              <w:pStyle w:val="20"/>
            </w:pPr>
            <w:r>
              <w:t>满意度调查费用</w:t>
            </w:r>
          </w:p>
        </w:tc>
        <w:tc>
          <w:tcPr>
            <w:tcW w:w="2551" w:type="dxa"/>
            <w:vAlign w:val="center"/>
          </w:tcPr>
          <w:p w:rsidR="00D40407" w:rsidRDefault="0088669C">
            <w:pPr>
              <w:pStyle w:val="20"/>
            </w:pPr>
            <w:r>
              <w:t>≤10万元</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大厅明察暗访次数</w:t>
            </w:r>
          </w:p>
        </w:tc>
        <w:tc>
          <w:tcPr>
            <w:tcW w:w="3430" w:type="dxa"/>
            <w:vAlign w:val="center"/>
          </w:tcPr>
          <w:p w:rsidR="00D40407" w:rsidRDefault="0088669C">
            <w:pPr>
              <w:pStyle w:val="20"/>
            </w:pPr>
            <w:r>
              <w:t>大厅明察暗访次数</w:t>
            </w:r>
          </w:p>
        </w:tc>
        <w:tc>
          <w:tcPr>
            <w:tcW w:w="2551" w:type="dxa"/>
            <w:vAlign w:val="center"/>
          </w:tcPr>
          <w:p w:rsidR="00D40407" w:rsidRDefault="0088669C">
            <w:pPr>
              <w:pStyle w:val="20"/>
            </w:pPr>
            <w:r>
              <w:t>4次</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满意度调查次数</w:t>
            </w:r>
          </w:p>
        </w:tc>
        <w:tc>
          <w:tcPr>
            <w:tcW w:w="3430" w:type="dxa"/>
            <w:vAlign w:val="center"/>
          </w:tcPr>
          <w:p w:rsidR="00D40407" w:rsidRDefault="0088669C">
            <w:pPr>
              <w:pStyle w:val="20"/>
            </w:pPr>
            <w:r>
              <w:t>满意度调查次数</w:t>
            </w:r>
          </w:p>
        </w:tc>
        <w:tc>
          <w:tcPr>
            <w:tcW w:w="2551" w:type="dxa"/>
            <w:vAlign w:val="center"/>
          </w:tcPr>
          <w:p w:rsidR="00D40407" w:rsidRDefault="0088669C">
            <w:pPr>
              <w:pStyle w:val="20"/>
            </w:pPr>
            <w:r>
              <w:t>1次</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舆情分析报告</w:t>
            </w:r>
          </w:p>
        </w:tc>
        <w:tc>
          <w:tcPr>
            <w:tcW w:w="3430" w:type="dxa"/>
            <w:vAlign w:val="center"/>
          </w:tcPr>
          <w:p w:rsidR="00D40407" w:rsidRDefault="0088669C">
            <w:pPr>
              <w:pStyle w:val="20"/>
            </w:pPr>
            <w:r>
              <w:t>舆情分析报告</w:t>
            </w:r>
          </w:p>
        </w:tc>
        <w:tc>
          <w:tcPr>
            <w:tcW w:w="2551" w:type="dxa"/>
            <w:vAlign w:val="center"/>
          </w:tcPr>
          <w:p w:rsidR="00D40407" w:rsidRDefault="0088669C">
            <w:pPr>
              <w:pStyle w:val="20"/>
            </w:pPr>
            <w:r>
              <w:t>12份</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舆情监测、明察暗访及满意度调查资金支出时效</w:t>
            </w:r>
          </w:p>
        </w:tc>
        <w:tc>
          <w:tcPr>
            <w:tcW w:w="3430" w:type="dxa"/>
            <w:vAlign w:val="center"/>
          </w:tcPr>
          <w:p w:rsidR="00D40407" w:rsidRDefault="0088669C">
            <w:pPr>
              <w:pStyle w:val="20"/>
            </w:pPr>
            <w:r>
              <w:t>舆情监测、明察暗访及满意度调查资金支出时效</w:t>
            </w:r>
          </w:p>
        </w:tc>
        <w:tc>
          <w:tcPr>
            <w:tcW w:w="2551" w:type="dxa"/>
            <w:vAlign w:val="center"/>
          </w:tcPr>
          <w:p w:rsidR="00D40407" w:rsidRDefault="0088669C">
            <w:pPr>
              <w:pStyle w:val="20"/>
            </w:pPr>
            <w:r>
              <w:t>按照合同约定按月/季度开展明察暗访及形成舆情分析报告等，及时支付资金</w:t>
            </w:r>
          </w:p>
        </w:tc>
      </w:tr>
      <w:tr w:rsidR="00D76F4A" w:rsidTr="00D76F4A">
        <w:trPr>
          <w:trHeight w:val="369"/>
          <w:jc w:val="center"/>
        </w:trPr>
        <w:tc>
          <w:tcPr>
            <w:tcW w:w="1276" w:type="dxa"/>
            <w:vAlign w:val="center"/>
          </w:tcPr>
          <w:p w:rsidR="00D40407" w:rsidRDefault="0088669C">
            <w:pPr>
              <w:pStyle w:val="30"/>
            </w:pPr>
            <w:r>
              <w:t>效益指标</w:t>
            </w:r>
          </w:p>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网络舆论环境及经办服务效能</w:t>
            </w:r>
          </w:p>
        </w:tc>
        <w:tc>
          <w:tcPr>
            <w:tcW w:w="3430" w:type="dxa"/>
            <w:vAlign w:val="center"/>
          </w:tcPr>
          <w:p w:rsidR="00D40407" w:rsidRDefault="0088669C">
            <w:pPr>
              <w:pStyle w:val="20"/>
            </w:pPr>
            <w:r>
              <w:t>网络舆论环境及经办服务效能</w:t>
            </w:r>
          </w:p>
        </w:tc>
        <w:tc>
          <w:tcPr>
            <w:tcW w:w="2551" w:type="dxa"/>
            <w:vAlign w:val="center"/>
          </w:tcPr>
          <w:p w:rsidR="00D40407" w:rsidRDefault="0088669C">
            <w:pPr>
              <w:pStyle w:val="20"/>
            </w:pPr>
            <w:r>
              <w:t>网络舆论环境良好，经办服务效能及群众满意度得到提升</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服务对象满意度</w:t>
            </w:r>
          </w:p>
        </w:tc>
        <w:tc>
          <w:tcPr>
            <w:tcW w:w="3430" w:type="dxa"/>
            <w:vAlign w:val="center"/>
          </w:tcPr>
          <w:p w:rsidR="00D40407" w:rsidRDefault="0088669C">
            <w:pPr>
              <w:pStyle w:val="20"/>
            </w:pPr>
            <w:r>
              <w:t>经办服务对象满意度</w:t>
            </w:r>
          </w:p>
        </w:tc>
        <w:tc>
          <w:tcPr>
            <w:tcW w:w="2551" w:type="dxa"/>
            <w:vAlign w:val="center"/>
          </w:tcPr>
          <w:p w:rsidR="00D40407" w:rsidRDefault="0088669C">
            <w:pPr>
              <w:pStyle w:val="20"/>
            </w:pPr>
            <w:r>
              <w:t>≥90百分比</w:t>
            </w:r>
          </w:p>
        </w:tc>
      </w:tr>
    </w:tbl>
    <w:p w:rsidR="00D40407" w:rsidRDefault="00D40407">
      <w:pPr>
        <w:sectPr w:rsidR="00D40407">
          <w:pgSz w:w="11900" w:h="16840"/>
          <w:pgMar w:top="1984" w:right="1304" w:bottom="1134" w:left="1304" w:header="720" w:footer="720" w:gutter="0"/>
          <w:cols w:space="720"/>
        </w:sectPr>
      </w:pPr>
    </w:p>
    <w:p w:rsidR="00D40407" w:rsidRDefault="0088669C">
      <w:pPr>
        <w:jc w:val="center"/>
      </w:pPr>
      <w:r>
        <w:rPr>
          <w:rFonts w:ascii="方正仿宋_GBK" w:eastAsia="方正仿宋_GBK" w:hAnsi="方正仿宋_GBK" w:cs="方正仿宋_GBK"/>
          <w:color w:val="000000"/>
          <w:sz w:val="28"/>
        </w:rPr>
        <w:lastRenderedPageBreak/>
        <w:t xml:space="preserve"> </w:t>
      </w:r>
    </w:p>
    <w:p w:rsidR="00D40407" w:rsidRDefault="0088669C">
      <w:pPr>
        <w:ind w:firstLine="560"/>
        <w:outlineLvl w:val="3"/>
      </w:pPr>
      <w:bookmarkStart w:id="8" w:name="_Toc126832577"/>
      <w:r>
        <w:rPr>
          <w:rFonts w:ascii="方正仿宋_GBK" w:eastAsia="方正仿宋_GBK" w:hAnsi="方正仿宋_GBK" w:cs="方正仿宋_GBK"/>
          <w:color w:val="000000"/>
          <w:sz w:val="28"/>
        </w:rPr>
        <w:t>105.社保中心宣传费绩效目标表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D76F4A" w:rsidTr="00D76F4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40407" w:rsidRDefault="0088669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D40407" w:rsidRDefault="0088669C">
            <w:pPr>
              <w:pStyle w:val="4"/>
            </w:pPr>
            <w:r>
              <w:t>单位：万元</w:t>
            </w:r>
          </w:p>
        </w:tc>
      </w:tr>
      <w:tr w:rsidR="00D76F4A" w:rsidTr="00D76F4A">
        <w:trPr>
          <w:trHeight w:val="369"/>
          <w:jc w:val="center"/>
        </w:trPr>
        <w:tc>
          <w:tcPr>
            <w:tcW w:w="1276" w:type="dxa"/>
            <w:vAlign w:val="center"/>
          </w:tcPr>
          <w:p w:rsidR="00D40407" w:rsidRDefault="0088669C">
            <w:pPr>
              <w:pStyle w:val="10"/>
            </w:pPr>
            <w:r>
              <w:t>项目名称</w:t>
            </w:r>
          </w:p>
        </w:tc>
        <w:tc>
          <w:tcPr>
            <w:tcW w:w="8589" w:type="dxa"/>
            <w:gridSpan w:val="6"/>
            <w:vAlign w:val="center"/>
          </w:tcPr>
          <w:p w:rsidR="00D40407" w:rsidRDefault="0088669C">
            <w:pPr>
              <w:pStyle w:val="20"/>
            </w:pPr>
            <w:r>
              <w:t>社保中心宣传费</w:t>
            </w:r>
          </w:p>
        </w:tc>
      </w:tr>
      <w:tr w:rsidR="00D40407">
        <w:trPr>
          <w:trHeight w:val="369"/>
          <w:jc w:val="center"/>
        </w:trPr>
        <w:tc>
          <w:tcPr>
            <w:tcW w:w="1276" w:type="dxa"/>
            <w:vMerge w:val="restart"/>
            <w:vAlign w:val="center"/>
          </w:tcPr>
          <w:p w:rsidR="00D40407" w:rsidRDefault="0088669C">
            <w:pPr>
              <w:pStyle w:val="10"/>
            </w:pPr>
            <w:r>
              <w:t>预算规模及资金用途</w:t>
            </w:r>
          </w:p>
        </w:tc>
        <w:tc>
          <w:tcPr>
            <w:tcW w:w="1276" w:type="dxa"/>
            <w:vAlign w:val="center"/>
          </w:tcPr>
          <w:p w:rsidR="00D40407" w:rsidRDefault="0088669C">
            <w:pPr>
              <w:pStyle w:val="10"/>
            </w:pPr>
            <w:r>
              <w:t>预算数</w:t>
            </w:r>
          </w:p>
        </w:tc>
        <w:tc>
          <w:tcPr>
            <w:tcW w:w="1332" w:type="dxa"/>
            <w:vAlign w:val="center"/>
          </w:tcPr>
          <w:p w:rsidR="00D40407" w:rsidRDefault="0088669C">
            <w:pPr>
              <w:pStyle w:val="20"/>
            </w:pPr>
            <w:r>
              <w:t>78.00</w:t>
            </w:r>
          </w:p>
        </w:tc>
        <w:tc>
          <w:tcPr>
            <w:tcW w:w="1587" w:type="dxa"/>
            <w:vAlign w:val="center"/>
          </w:tcPr>
          <w:p w:rsidR="00D40407" w:rsidRDefault="0088669C">
            <w:pPr>
              <w:pStyle w:val="10"/>
            </w:pPr>
            <w:r>
              <w:t>其中：财政    资金</w:t>
            </w:r>
          </w:p>
        </w:tc>
        <w:tc>
          <w:tcPr>
            <w:tcW w:w="1843" w:type="dxa"/>
            <w:vAlign w:val="center"/>
          </w:tcPr>
          <w:p w:rsidR="00D40407" w:rsidRDefault="0088669C">
            <w:pPr>
              <w:pStyle w:val="20"/>
            </w:pPr>
            <w:r>
              <w:t>78.00</w:t>
            </w:r>
          </w:p>
        </w:tc>
        <w:tc>
          <w:tcPr>
            <w:tcW w:w="1276" w:type="dxa"/>
            <w:vAlign w:val="center"/>
          </w:tcPr>
          <w:p w:rsidR="00D40407" w:rsidRDefault="0088669C">
            <w:pPr>
              <w:pStyle w:val="10"/>
            </w:pPr>
            <w:r>
              <w:t>其他资金</w:t>
            </w:r>
          </w:p>
        </w:tc>
        <w:tc>
          <w:tcPr>
            <w:tcW w:w="1276" w:type="dxa"/>
            <w:vAlign w:val="center"/>
          </w:tcPr>
          <w:p w:rsidR="00D40407" w:rsidRDefault="0088669C">
            <w:pPr>
              <w:pStyle w:val="20"/>
            </w:pPr>
            <w:r>
              <w:t xml:space="preserve"> </w:t>
            </w:r>
          </w:p>
        </w:tc>
      </w:tr>
      <w:tr w:rsidR="00D76F4A" w:rsidTr="00D76F4A">
        <w:trPr>
          <w:trHeight w:val="369"/>
          <w:jc w:val="center"/>
        </w:trPr>
        <w:tc>
          <w:tcPr>
            <w:tcW w:w="1276" w:type="dxa"/>
            <w:vMerge/>
          </w:tcPr>
          <w:p w:rsidR="00D40407" w:rsidRDefault="00D40407"/>
        </w:tc>
        <w:tc>
          <w:tcPr>
            <w:tcW w:w="8589" w:type="dxa"/>
            <w:gridSpan w:val="6"/>
            <w:vAlign w:val="center"/>
          </w:tcPr>
          <w:p w:rsidR="00D40407" w:rsidRDefault="0088669C">
            <w:pPr>
              <w:pStyle w:val="20"/>
            </w:pPr>
            <w:r>
              <w:t>围绕社保经办服务重点工作，通过各种宣传渠道，采取多种宣传方式，权威、准确、及时发布社保信息、新闻动态、通知公告、政策解读、经办指南等相关资讯。</w:t>
            </w:r>
          </w:p>
        </w:tc>
      </w:tr>
      <w:tr w:rsidR="00D76F4A" w:rsidTr="00D76F4A">
        <w:trPr>
          <w:trHeight w:val="369"/>
          <w:jc w:val="center"/>
        </w:trPr>
        <w:tc>
          <w:tcPr>
            <w:tcW w:w="1276" w:type="dxa"/>
            <w:vAlign w:val="center"/>
          </w:tcPr>
          <w:p w:rsidR="00D40407" w:rsidRDefault="0088669C">
            <w:pPr>
              <w:pStyle w:val="10"/>
            </w:pPr>
            <w:r>
              <w:t>绩效目标</w:t>
            </w:r>
          </w:p>
        </w:tc>
        <w:tc>
          <w:tcPr>
            <w:tcW w:w="8589" w:type="dxa"/>
            <w:gridSpan w:val="6"/>
            <w:vAlign w:val="center"/>
          </w:tcPr>
          <w:p w:rsidR="00D40407" w:rsidRDefault="0088669C">
            <w:pPr>
              <w:pStyle w:val="20"/>
            </w:pPr>
            <w:r>
              <w:t>1.扩大受众群体，扩大社保经办服务宣传覆盖面和知晓度，重点围绕社保经办服务重点工作，通过各种宣传渠道，采取多种宣传方式，权威、准确、及时发布社保信息、新闻动态、通知公告、政策解读、经办指南等相关资讯。</w:t>
            </w:r>
          </w:p>
        </w:tc>
      </w:tr>
    </w:tbl>
    <w:p w:rsidR="00D40407" w:rsidRDefault="008866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D76F4A" w:rsidTr="00D76F4A">
        <w:trPr>
          <w:trHeight w:val="397"/>
          <w:tblHeader/>
          <w:jc w:val="center"/>
        </w:trPr>
        <w:tc>
          <w:tcPr>
            <w:tcW w:w="1276" w:type="dxa"/>
            <w:vAlign w:val="center"/>
          </w:tcPr>
          <w:p w:rsidR="00D40407" w:rsidRDefault="0088669C">
            <w:pPr>
              <w:pStyle w:val="10"/>
            </w:pPr>
            <w:r>
              <w:t>一级指标</w:t>
            </w:r>
          </w:p>
        </w:tc>
        <w:tc>
          <w:tcPr>
            <w:tcW w:w="1276" w:type="dxa"/>
            <w:vAlign w:val="center"/>
          </w:tcPr>
          <w:p w:rsidR="00D40407" w:rsidRDefault="0088669C">
            <w:pPr>
              <w:pStyle w:val="10"/>
            </w:pPr>
            <w:r>
              <w:t>二级指标</w:t>
            </w:r>
          </w:p>
        </w:tc>
        <w:tc>
          <w:tcPr>
            <w:tcW w:w="1332" w:type="dxa"/>
            <w:vAlign w:val="center"/>
          </w:tcPr>
          <w:p w:rsidR="00D40407" w:rsidRDefault="0088669C">
            <w:pPr>
              <w:pStyle w:val="10"/>
            </w:pPr>
            <w:r>
              <w:t>三级指标</w:t>
            </w:r>
          </w:p>
        </w:tc>
        <w:tc>
          <w:tcPr>
            <w:tcW w:w="3430" w:type="dxa"/>
            <w:vAlign w:val="center"/>
          </w:tcPr>
          <w:p w:rsidR="00D40407" w:rsidRDefault="0088669C">
            <w:pPr>
              <w:pStyle w:val="10"/>
            </w:pPr>
            <w:r>
              <w:t>绩效指标描述</w:t>
            </w:r>
          </w:p>
        </w:tc>
        <w:tc>
          <w:tcPr>
            <w:tcW w:w="2551" w:type="dxa"/>
            <w:vAlign w:val="center"/>
          </w:tcPr>
          <w:p w:rsidR="00D40407" w:rsidRDefault="0088669C">
            <w:pPr>
              <w:pStyle w:val="10"/>
            </w:pPr>
            <w:r>
              <w:t>指标值</w:t>
            </w:r>
          </w:p>
        </w:tc>
      </w:tr>
      <w:tr w:rsidR="00D76F4A" w:rsidTr="00D76F4A">
        <w:trPr>
          <w:trHeight w:val="369"/>
          <w:jc w:val="center"/>
        </w:trPr>
        <w:tc>
          <w:tcPr>
            <w:tcW w:w="1276" w:type="dxa"/>
            <w:vMerge w:val="restart"/>
            <w:vAlign w:val="center"/>
          </w:tcPr>
          <w:p w:rsidR="00D40407" w:rsidRDefault="0088669C">
            <w:pPr>
              <w:pStyle w:val="30"/>
            </w:pPr>
            <w:r>
              <w:t>产出指标</w:t>
            </w:r>
          </w:p>
        </w:tc>
        <w:tc>
          <w:tcPr>
            <w:tcW w:w="1276" w:type="dxa"/>
            <w:vAlign w:val="center"/>
          </w:tcPr>
          <w:p w:rsidR="00D40407" w:rsidRDefault="0088669C">
            <w:pPr>
              <w:pStyle w:val="20"/>
            </w:pPr>
            <w:r>
              <w:t>数量指标</w:t>
            </w:r>
          </w:p>
        </w:tc>
        <w:tc>
          <w:tcPr>
            <w:tcW w:w="1332" w:type="dxa"/>
            <w:vAlign w:val="center"/>
          </w:tcPr>
          <w:p w:rsidR="00D40407" w:rsidRDefault="0088669C">
            <w:pPr>
              <w:pStyle w:val="20"/>
            </w:pPr>
            <w:r>
              <w:t>发布信息数量</w:t>
            </w:r>
          </w:p>
        </w:tc>
        <w:tc>
          <w:tcPr>
            <w:tcW w:w="3430" w:type="dxa"/>
            <w:vAlign w:val="center"/>
          </w:tcPr>
          <w:p w:rsidR="00D40407" w:rsidRDefault="0088669C">
            <w:pPr>
              <w:pStyle w:val="20"/>
            </w:pPr>
            <w:r>
              <w:t>发布信息数量</w:t>
            </w:r>
          </w:p>
        </w:tc>
        <w:tc>
          <w:tcPr>
            <w:tcW w:w="2551" w:type="dxa"/>
            <w:vAlign w:val="center"/>
          </w:tcPr>
          <w:p w:rsidR="00D40407" w:rsidRDefault="0088669C">
            <w:pPr>
              <w:pStyle w:val="20"/>
            </w:pPr>
            <w:r>
              <w:t>≥800篇次</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质量指标</w:t>
            </w:r>
          </w:p>
        </w:tc>
        <w:tc>
          <w:tcPr>
            <w:tcW w:w="1332" w:type="dxa"/>
            <w:vAlign w:val="center"/>
          </w:tcPr>
          <w:p w:rsidR="00D40407" w:rsidRDefault="0088669C">
            <w:pPr>
              <w:pStyle w:val="20"/>
            </w:pPr>
            <w:r>
              <w:t>信息发布质量及保密要求</w:t>
            </w:r>
          </w:p>
        </w:tc>
        <w:tc>
          <w:tcPr>
            <w:tcW w:w="3430" w:type="dxa"/>
            <w:vAlign w:val="center"/>
          </w:tcPr>
          <w:p w:rsidR="00D40407" w:rsidRDefault="0088669C">
            <w:pPr>
              <w:pStyle w:val="20"/>
            </w:pPr>
            <w:r>
              <w:t>社保经办信息发布质量及保密要求</w:t>
            </w:r>
          </w:p>
        </w:tc>
        <w:tc>
          <w:tcPr>
            <w:tcW w:w="2551" w:type="dxa"/>
            <w:vAlign w:val="center"/>
          </w:tcPr>
          <w:p w:rsidR="00D40407" w:rsidRDefault="0088669C">
            <w:pPr>
              <w:pStyle w:val="20"/>
            </w:pPr>
            <w:r>
              <w:t>准确、及时发布社保经办信息，未经允许，不得擅自发布相关信息，信息浏览量增长率&gt;=20%，提升政策知晓度</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时效指标</w:t>
            </w:r>
          </w:p>
        </w:tc>
        <w:tc>
          <w:tcPr>
            <w:tcW w:w="1332" w:type="dxa"/>
            <w:vAlign w:val="center"/>
          </w:tcPr>
          <w:p w:rsidR="00D40407" w:rsidRDefault="0088669C">
            <w:pPr>
              <w:pStyle w:val="20"/>
            </w:pPr>
            <w:r>
              <w:t>发布时效</w:t>
            </w:r>
          </w:p>
        </w:tc>
        <w:tc>
          <w:tcPr>
            <w:tcW w:w="3430" w:type="dxa"/>
            <w:vAlign w:val="center"/>
          </w:tcPr>
          <w:p w:rsidR="00D40407" w:rsidRDefault="0088669C">
            <w:pPr>
              <w:pStyle w:val="20"/>
            </w:pPr>
            <w:r>
              <w:t>信息发布时效</w:t>
            </w:r>
          </w:p>
        </w:tc>
        <w:tc>
          <w:tcPr>
            <w:tcW w:w="2551" w:type="dxa"/>
            <w:vAlign w:val="center"/>
          </w:tcPr>
          <w:p w:rsidR="00D40407" w:rsidRDefault="0088669C">
            <w:pPr>
              <w:pStyle w:val="20"/>
            </w:pPr>
            <w:r>
              <w:t>当日完成信息编辑、发布工作</w:t>
            </w:r>
          </w:p>
        </w:tc>
      </w:tr>
      <w:tr w:rsidR="00D76F4A" w:rsidTr="00D76F4A">
        <w:trPr>
          <w:trHeight w:val="369"/>
          <w:jc w:val="center"/>
        </w:trPr>
        <w:tc>
          <w:tcPr>
            <w:tcW w:w="1276" w:type="dxa"/>
            <w:vMerge/>
            <w:vAlign w:val="center"/>
          </w:tcPr>
          <w:p w:rsidR="00D40407" w:rsidRDefault="00D40407"/>
        </w:tc>
        <w:tc>
          <w:tcPr>
            <w:tcW w:w="1276" w:type="dxa"/>
            <w:vAlign w:val="center"/>
          </w:tcPr>
          <w:p w:rsidR="00D40407" w:rsidRDefault="0088669C">
            <w:pPr>
              <w:pStyle w:val="20"/>
            </w:pPr>
            <w:r>
              <w:t>成本指标</w:t>
            </w:r>
          </w:p>
        </w:tc>
        <w:tc>
          <w:tcPr>
            <w:tcW w:w="1332" w:type="dxa"/>
            <w:vAlign w:val="center"/>
          </w:tcPr>
          <w:p w:rsidR="00D40407" w:rsidRDefault="0088669C">
            <w:pPr>
              <w:pStyle w:val="20"/>
            </w:pPr>
            <w:r>
              <w:t>图文排版及运行维护经费</w:t>
            </w:r>
          </w:p>
        </w:tc>
        <w:tc>
          <w:tcPr>
            <w:tcW w:w="3430" w:type="dxa"/>
            <w:vAlign w:val="center"/>
          </w:tcPr>
          <w:p w:rsidR="00D40407" w:rsidRDefault="0088669C">
            <w:pPr>
              <w:pStyle w:val="20"/>
            </w:pPr>
            <w:r>
              <w:t>图文排版及运行维护经费</w:t>
            </w:r>
          </w:p>
        </w:tc>
        <w:tc>
          <w:tcPr>
            <w:tcW w:w="2551" w:type="dxa"/>
            <w:vAlign w:val="center"/>
          </w:tcPr>
          <w:p w:rsidR="00D40407" w:rsidRDefault="0088669C">
            <w:pPr>
              <w:pStyle w:val="20"/>
            </w:pPr>
            <w:r>
              <w:t>≤78万元</w:t>
            </w:r>
          </w:p>
        </w:tc>
      </w:tr>
      <w:tr w:rsidR="00D76F4A" w:rsidTr="00D76F4A">
        <w:trPr>
          <w:trHeight w:val="369"/>
          <w:jc w:val="center"/>
        </w:trPr>
        <w:tc>
          <w:tcPr>
            <w:tcW w:w="1276" w:type="dxa"/>
            <w:vAlign w:val="center"/>
          </w:tcPr>
          <w:p w:rsidR="00D40407" w:rsidRDefault="0088669C">
            <w:pPr>
              <w:pStyle w:val="30"/>
            </w:pPr>
            <w:r>
              <w:t>效益指标</w:t>
            </w:r>
          </w:p>
        </w:tc>
        <w:tc>
          <w:tcPr>
            <w:tcW w:w="1276" w:type="dxa"/>
            <w:vAlign w:val="center"/>
          </w:tcPr>
          <w:p w:rsidR="00D40407" w:rsidRDefault="0088669C">
            <w:pPr>
              <w:pStyle w:val="20"/>
            </w:pPr>
            <w:r>
              <w:t>社会效益指标</w:t>
            </w:r>
          </w:p>
        </w:tc>
        <w:tc>
          <w:tcPr>
            <w:tcW w:w="1332" w:type="dxa"/>
            <w:vAlign w:val="center"/>
          </w:tcPr>
          <w:p w:rsidR="00D40407" w:rsidRDefault="0088669C">
            <w:pPr>
              <w:pStyle w:val="20"/>
            </w:pPr>
            <w:r>
              <w:t>关注人数</w:t>
            </w:r>
          </w:p>
        </w:tc>
        <w:tc>
          <w:tcPr>
            <w:tcW w:w="3430" w:type="dxa"/>
            <w:vAlign w:val="center"/>
          </w:tcPr>
          <w:p w:rsidR="00D40407" w:rsidRDefault="0088669C">
            <w:pPr>
              <w:pStyle w:val="20"/>
            </w:pPr>
            <w:r>
              <w:t>公众号关注人数</w:t>
            </w:r>
          </w:p>
        </w:tc>
        <w:tc>
          <w:tcPr>
            <w:tcW w:w="2551" w:type="dxa"/>
            <w:vAlign w:val="center"/>
          </w:tcPr>
          <w:p w:rsidR="00D40407" w:rsidRDefault="0088669C">
            <w:pPr>
              <w:pStyle w:val="20"/>
            </w:pPr>
            <w:r>
              <w:t>公众号关注人数超过50万人，关注人数年增长率&gt;=20%</w:t>
            </w:r>
          </w:p>
        </w:tc>
      </w:tr>
      <w:tr w:rsidR="00D76F4A" w:rsidTr="00D76F4A">
        <w:trPr>
          <w:trHeight w:val="369"/>
          <w:jc w:val="center"/>
        </w:trPr>
        <w:tc>
          <w:tcPr>
            <w:tcW w:w="1276" w:type="dxa"/>
            <w:vAlign w:val="center"/>
          </w:tcPr>
          <w:p w:rsidR="00D40407" w:rsidRDefault="0088669C">
            <w:pPr>
              <w:pStyle w:val="30"/>
            </w:pPr>
            <w:r>
              <w:t>满意度指标</w:t>
            </w:r>
          </w:p>
        </w:tc>
        <w:tc>
          <w:tcPr>
            <w:tcW w:w="1276" w:type="dxa"/>
            <w:vAlign w:val="center"/>
          </w:tcPr>
          <w:p w:rsidR="00D40407" w:rsidRDefault="0088669C">
            <w:pPr>
              <w:pStyle w:val="20"/>
            </w:pPr>
            <w:r>
              <w:t>服务对象满意度指标</w:t>
            </w:r>
          </w:p>
        </w:tc>
        <w:tc>
          <w:tcPr>
            <w:tcW w:w="1332" w:type="dxa"/>
            <w:vAlign w:val="center"/>
          </w:tcPr>
          <w:p w:rsidR="00D40407" w:rsidRDefault="0088669C">
            <w:pPr>
              <w:pStyle w:val="20"/>
            </w:pPr>
            <w:r>
              <w:t>用户满意度</w:t>
            </w:r>
          </w:p>
        </w:tc>
        <w:tc>
          <w:tcPr>
            <w:tcW w:w="3430" w:type="dxa"/>
            <w:vAlign w:val="center"/>
          </w:tcPr>
          <w:p w:rsidR="00D40407" w:rsidRDefault="0088669C">
            <w:pPr>
              <w:pStyle w:val="20"/>
            </w:pPr>
            <w:r>
              <w:t>关注用户满意度</w:t>
            </w:r>
          </w:p>
        </w:tc>
        <w:tc>
          <w:tcPr>
            <w:tcW w:w="2551" w:type="dxa"/>
            <w:vAlign w:val="center"/>
          </w:tcPr>
          <w:p w:rsidR="00D40407" w:rsidRDefault="0088669C">
            <w:pPr>
              <w:pStyle w:val="20"/>
            </w:pPr>
            <w:r>
              <w:t>≥90百分比</w:t>
            </w:r>
          </w:p>
        </w:tc>
      </w:tr>
    </w:tbl>
    <w:p w:rsidR="00D40407" w:rsidRPr="000D4CA0" w:rsidRDefault="00D40407">
      <w:pPr>
        <w:rPr>
          <w:rFonts w:eastAsiaTheme="minorEastAsia" w:hint="eastAsia"/>
          <w:lang w:eastAsia="zh-CN"/>
        </w:rPr>
        <w:sectPr w:rsidR="00D40407" w:rsidRPr="000D4CA0">
          <w:pgSz w:w="11900" w:h="16840"/>
          <w:pgMar w:top="1984" w:right="1304" w:bottom="1134" w:left="1304" w:header="720" w:footer="720" w:gutter="0"/>
          <w:cols w:space="720"/>
        </w:sectPr>
      </w:pPr>
    </w:p>
    <w:p w:rsidR="00D40407" w:rsidRDefault="00D40407" w:rsidP="000D4CA0">
      <w:pPr>
        <w:rPr>
          <w:rFonts w:hint="eastAsia"/>
          <w:lang w:eastAsia="zh-CN"/>
        </w:rPr>
      </w:pPr>
    </w:p>
    <w:sectPr w:rsidR="00D40407" w:rsidSect="002C086D">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4E" w:rsidRDefault="0079524E">
      <w:r>
        <w:separator/>
      </w:r>
    </w:p>
  </w:endnote>
  <w:endnote w:type="continuationSeparator" w:id="0">
    <w:p w:rsidR="0079524E" w:rsidRDefault="00795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07" w:rsidRDefault="008433B5">
    <w:r>
      <w:fldChar w:fldCharType="begin"/>
    </w:r>
    <w:r w:rsidR="0088669C">
      <w:instrText>PAGE "page number"</w:instrText>
    </w:r>
    <w:r>
      <w:fldChar w:fldCharType="separate"/>
    </w:r>
    <w:r w:rsidR="000D4CA0">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07" w:rsidRDefault="008433B5">
    <w:pPr>
      <w:jc w:val="right"/>
    </w:pPr>
    <w:r>
      <w:fldChar w:fldCharType="begin"/>
    </w:r>
    <w:r w:rsidR="0088669C">
      <w:instrText>PAGE "page number"</w:instrText>
    </w:r>
    <w:r>
      <w:fldChar w:fldCharType="separate"/>
    </w:r>
    <w:r w:rsidR="000D4CA0">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4E" w:rsidRDefault="0079524E">
      <w:r>
        <w:separator/>
      </w:r>
    </w:p>
  </w:footnote>
  <w:footnote w:type="continuationSeparator" w:id="0">
    <w:p w:rsidR="0079524E" w:rsidRDefault="00795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oNotTrackMoves/>
  <w:defaultTabStop w:val="720"/>
  <w:evenAndOddHeaders/>
  <w:characterSpacingControl w:val="doNotCompress"/>
  <w:hdrShapeDefaults>
    <o:shapedefaults v:ext="edit" spidmax="10242"/>
  </w:hdrShapeDefaults>
  <w:footnotePr>
    <w:footnote w:id="-1"/>
    <w:footnote w:id="0"/>
  </w:footnotePr>
  <w:endnotePr>
    <w:endnote w:id="-1"/>
    <w:endnote w:id="0"/>
  </w:endnotePr>
  <w:compat>
    <w:doNotLeaveBackslashAlone/>
    <w:doNotExpandShiftReturn/>
    <w:adjustLineHeightInTable/>
    <w:useFELayout/>
  </w:compat>
  <w:rsids>
    <w:rsidRoot w:val="00D40407"/>
    <w:rsid w:val="00074EC4"/>
    <w:rsid w:val="000C3E7A"/>
    <w:rsid w:val="000D4CA0"/>
    <w:rsid w:val="002C086D"/>
    <w:rsid w:val="005D2AEA"/>
    <w:rsid w:val="006B3D0D"/>
    <w:rsid w:val="00753249"/>
    <w:rsid w:val="0079524E"/>
    <w:rsid w:val="007B4A31"/>
    <w:rsid w:val="008433B5"/>
    <w:rsid w:val="0088669C"/>
    <w:rsid w:val="008A13CF"/>
    <w:rsid w:val="00D40407"/>
    <w:rsid w:val="00D76F4A"/>
    <w:rsid w:val="00E20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6D"/>
    <w:rPr>
      <w:rFonts w:eastAsia="Times New Roman"/>
      <w:sz w:val="24"/>
      <w:szCs w:val="24"/>
      <w:lang w:eastAsia="uk-UA"/>
    </w:rPr>
  </w:style>
  <w:style w:type="paragraph" w:styleId="1">
    <w:name w:val="heading 1"/>
    <w:basedOn w:val="a"/>
    <w:next w:val="a"/>
    <w:link w:val="1Char"/>
    <w:uiPriority w:val="9"/>
    <w:qFormat/>
    <w:rsid w:val="007B4A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B4A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B4A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2C086D"/>
    <w:pPr>
      <w:spacing w:line="500" w:lineRule="exact"/>
      <w:ind w:firstLine="560"/>
    </w:pPr>
    <w:rPr>
      <w:rFonts w:eastAsia="方正仿宋_GBK"/>
      <w:sz w:val="28"/>
    </w:rPr>
  </w:style>
  <w:style w:type="paragraph" w:customStyle="1" w:styleId="-0">
    <w:name w:val="插入文本样式-插入职责分类绩效目标文件"/>
    <w:basedOn w:val="a"/>
    <w:qFormat/>
    <w:rsid w:val="002C086D"/>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2C086D"/>
    <w:pPr>
      <w:spacing w:line="500" w:lineRule="exact"/>
      <w:ind w:firstLine="560"/>
    </w:pPr>
    <w:rPr>
      <w:rFonts w:eastAsia="方正仿宋_GBK"/>
      <w:sz w:val="28"/>
    </w:rPr>
  </w:style>
  <w:style w:type="table" w:styleId="a3">
    <w:name w:val="Table Grid"/>
    <w:basedOn w:val="a1"/>
    <w:rsid w:val="002C08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2C086D"/>
    <w:pPr>
      <w:jc w:val="right"/>
    </w:pPr>
    <w:rPr>
      <w:rFonts w:ascii="方正书宋_GBK" w:eastAsia="方正书宋_GBK" w:hAnsi="方正书宋_GBK" w:cs="方正书宋_GBK"/>
      <w:sz w:val="21"/>
    </w:rPr>
  </w:style>
  <w:style w:type="paragraph" w:customStyle="1" w:styleId="5">
    <w:name w:val="单元格样式5"/>
    <w:basedOn w:val="a"/>
    <w:qFormat/>
    <w:rsid w:val="002C086D"/>
    <w:rPr>
      <w:rFonts w:ascii="方正书宋_GBK" w:eastAsia="方正书宋_GBK" w:hAnsi="方正书宋_GBK" w:cs="方正书宋_GBK"/>
      <w:b/>
      <w:sz w:val="21"/>
    </w:rPr>
  </w:style>
  <w:style w:type="paragraph" w:customStyle="1" w:styleId="20">
    <w:name w:val="单元格样式2"/>
    <w:basedOn w:val="a"/>
    <w:qFormat/>
    <w:rsid w:val="002C086D"/>
    <w:rPr>
      <w:rFonts w:ascii="方正书宋_GBK" w:eastAsia="方正书宋_GBK" w:hAnsi="方正书宋_GBK" w:cs="方正书宋_GBK"/>
      <w:sz w:val="21"/>
    </w:rPr>
  </w:style>
  <w:style w:type="paragraph" w:customStyle="1" w:styleId="10">
    <w:name w:val="单元格样式1"/>
    <w:basedOn w:val="a"/>
    <w:qFormat/>
    <w:rsid w:val="002C086D"/>
    <w:pPr>
      <w:jc w:val="center"/>
    </w:pPr>
    <w:rPr>
      <w:rFonts w:ascii="方正书宋_GBK" w:eastAsia="方正书宋_GBK" w:hAnsi="方正书宋_GBK" w:cs="方正书宋_GBK"/>
      <w:b/>
      <w:sz w:val="21"/>
    </w:rPr>
  </w:style>
  <w:style w:type="paragraph" w:customStyle="1" w:styleId="30">
    <w:name w:val="单元格样式3"/>
    <w:basedOn w:val="a"/>
    <w:qFormat/>
    <w:rsid w:val="002C086D"/>
    <w:pPr>
      <w:jc w:val="center"/>
    </w:pPr>
    <w:rPr>
      <w:rFonts w:ascii="方正书宋_GBK" w:eastAsia="方正书宋_GBK" w:hAnsi="方正书宋_GBK" w:cs="方正书宋_GBK"/>
      <w:sz w:val="21"/>
    </w:rPr>
  </w:style>
  <w:style w:type="paragraph" w:styleId="21">
    <w:name w:val="toc 2"/>
    <w:basedOn w:val="a"/>
    <w:qFormat/>
    <w:rsid w:val="002C086D"/>
    <w:pPr>
      <w:ind w:left="240"/>
    </w:pPr>
  </w:style>
  <w:style w:type="paragraph" w:styleId="40">
    <w:name w:val="toc 4"/>
    <w:basedOn w:val="a"/>
    <w:uiPriority w:val="39"/>
    <w:qFormat/>
    <w:rsid w:val="002C086D"/>
    <w:pPr>
      <w:ind w:left="720"/>
    </w:pPr>
  </w:style>
  <w:style w:type="paragraph" w:styleId="11">
    <w:name w:val="toc 1"/>
    <w:basedOn w:val="a"/>
    <w:qFormat/>
    <w:rsid w:val="002C086D"/>
    <w:pPr>
      <w:spacing w:before="120"/>
    </w:pPr>
    <w:rPr>
      <w:rFonts w:eastAsia="方正仿宋_GBK"/>
      <w:color w:val="000000"/>
      <w:sz w:val="28"/>
    </w:rPr>
  </w:style>
  <w:style w:type="character" w:customStyle="1" w:styleId="1Char">
    <w:name w:val="标题 1 Char"/>
    <w:basedOn w:val="a0"/>
    <w:link w:val="1"/>
    <w:uiPriority w:val="9"/>
    <w:rsid w:val="007B4A31"/>
    <w:rPr>
      <w:rFonts w:eastAsia="Times New Roman"/>
      <w:b/>
      <w:bCs/>
      <w:kern w:val="44"/>
      <w:sz w:val="44"/>
      <w:szCs w:val="44"/>
      <w:lang w:eastAsia="uk-UA"/>
    </w:rPr>
  </w:style>
  <w:style w:type="character" w:customStyle="1" w:styleId="2Char">
    <w:name w:val="标题 2 Char"/>
    <w:basedOn w:val="a0"/>
    <w:link w:val="2"/>
    <w:uiPriority w:val="9"/>
    <w:semiHidden/>
    <w:rsid w:val="007B4A31"/>
    <w:rPr>
      <w:rFonts w:asciiTheme="majorHAnsi" w:eastAsiaTheme="majorEastAsia" w:hAnsiTheme="majorHAnsi" w:cstheme="majorBidi"/>
      <w:b/>
      <w:bCs/>
      <w:sz w:val="32"/>
      <w:szCs w:val="32"/>
      <w:lang w:eastAsia="uk-UA"/>
    </w:rPr>
  </w:style>
  <w:style w:type="character" w:customStyle="1" w:styleId="3Char">
    <w:name w:val="标题 3 Char"/>
    <w:basedOn w:val="a0"/>
    <w:link w:val="3"/>
    <w:uiPriority w:val="9"/>
    <w:semiHidden/>
    <w:rsid w:val="007B4A31"/>
    <w:rPr>
      <w:rFonts w:eastAsia="Times New Roman"/>
      <w:b/>
      <w:bCs/>
      <w:sz w:val="32"/>
      <w:szCs w:val="32"/>
      <w:lang w:eastAsia="uk-UA"/>
    </w:rPr>
  </w:style>
  <w:style w:type="character" w:styleId="a4">
    <w:name w:val="Hyperlink"/>
    <w:basedOn w:val="a0"/>
    <w:uiPriority w:val="99"/>
    <w:unhideWhenUsed/>
    <w:rsid w:val="007B4A3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11" Type="http://schemas.openxmlformats.org/officeDocument/2006/relationships/customXml" Target="../customXml/item21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fontTable" Target="fontTable.xml"/><Relationship Id="rId201" Type="http://schemas.openxmlformats.org/officeDocument/2006/relationships/customXml" Target="../customXml/item201.xml"/><Relationship Id="rId222"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footnotes" Target="footnotes.xml"/><Relationship Id="rId228"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19" Type="http://schemas.openxmlformats.org/officeDocument/2006/relationships/customXml" Target="../customXml/item19.xml"/><Relationship Id="rId224" Type="http://schemas.openxmlformats.org/officeDocument/2006/relationships/endnotes" Target="endnotes.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styles" Target="styles.xml"/><Relationship Id="rId225"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settings" Target="settings.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2023-02-08T17:24:13Z</dcterms:created>
  <dcterms:modified xsi:type="dcterms:W3CDTF">2023-02-08T09:24:13Z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2023-02-08T17:24:13Z</dcterms:created>
  <dcterms:modified xsi:type="dcterms:W3CDTF">2023-02-08T09:24:13Z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219.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2023-02-08T17:24:13Z</dcterms:created>
  <dcterms:modified xsi:type="dcterms:W3CDTF">2023-02-08T09:24:13Z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246FD2-BC88-483D-A328-4B6ADEDFB96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C4784AA-67BB-4595-A38D-94537FA7DBFC}">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723C3B6E-135F-4969-A0C3-0ADB3DFCF64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F4EDA214-267B-4281-8EFA-364D6CE07E08}">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672ECF58-C714-4899-84D5-7E4E6A22F9E0}">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44848ED6-2FEC-4A04-8D3E-FCCA5B713884}">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34C115BC-F883-428E-B86D-10836685553B}">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13B982A0-DB43-4C46-9439-667D67779801}">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AFE2FC95-EACD-4E2B-BD0D-789C9ED3A264}">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D58C2FE7-FD10-48BD-972F-8D79AED9832D}">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C0B0BB02-6D5F-4CEE-8D02-9BF885BF62ED}">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47CE816-46C0-41DB-871A-A6C9DF0B519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E70D10F-B46B-4B80-AB02-018FAD16BDE9}">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FA2B39E-99DB-481F-88EE-1D5D31B48289}">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A43D4D1F-8958-4448-93CC-6C8CCF148210}">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AF589BC2-E0E0-4A67-8E9E-91248122758F}">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AC646F16-B712-4139-A2E1-5FF31904B41D}">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88240C38-4D90-4701-A49D-0738E56323FD}">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79DF5416-55DB-4B5D-A883-13299B88F784}">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DDBBD2C1-B2C6-488F-ABC2-392C75FA7A24}">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9C167673-49D9-4553-B1C1-7E4B093B4465}">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FD7B605C-F0FE-4924-846E-85644F539CF1}">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E027573C-70C1-4CC4-A9B6-83B91A37E6F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8E6497F-D3D6-4306-AB36-3150DEA24B3B}">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A4CBE405-59CA-493A-A67C-2243023D0A3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3610DF0E-A4BF-4B4D-B865-12C9241575A6}">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EFE38FC2-F4F7-4FD7-B5DA-0A76B17D4EBE}">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A046FD9C-E7C7-40B6-8BE6-E69C1BD0829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E1CE8449-AD0D-481E-BFA8-EFF070434130}">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66DADB1D-5785-465C-9481-C8E1A750AEEA}">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58C98988-220D-43A2-86DA-F36B0A2F1FF0}">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6EA6D838-78EA-44F9-897F-7AABC7728927}">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32ABBB06-4A48-4340-870F-38940D58F32F}">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371F278B-ABF7-4A8E-B200-B32683BD650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3A6D839-B8DD-4E8D-AF0B-1F70C392F16C}">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2F5390EC-04B9-425A-8B5E-2A991A1523C4}">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E7438CC2-7CDE-4A00-BA4B-0606AB6B033C}">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1EE8B19A-9F82-4E17-B59C-B6D25E88D3D2}">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B83BDB7F-13E8-4BAF-9211-04DBFAA5AA01}">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50E5646E-988A-4FFF-8F36-80E2CFC05E57}">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814E6B0B-75C7-4706-985E-B452790BC2EF}">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1398F9FC-38EF-4FF3-BA2E-1AB4CDEAA629}">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51F651E8-2825-4D06-B09D-924B03D2B172}">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D3933891-E8FB-4914-96CA-DFA50FB74668}">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84056259-53BB-45FC-87A7-620591FC142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59191DF-3725-4949-8AFC-8999585B0018}">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3E456366-2171-45FB-A079-E933BF6553FC}">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97B23FA1-BAD5-4E66-A9FB-0FAAF36ADCDD}">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4810DF72-49B0-4E69-9A9E-41C94F9AC921}">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73861CE5-C68B-439E-BEDB-4D85D5645217}">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80CAE3C6-67E7-418D-B053-4FE652486DA1}">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58531860-3424-4F27-BD17-3D0F14B6D6F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4F3248C2-6026-497E-A35A-5825937B5095}">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84BC4024-4F66-4AFE-954D-B829DC7B09D1}">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208B6794-CBA1-42F0-972E-F92FCBFFEAEE}">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0CFA6C8-C3C9-47F6-915D-77374671DA1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911AFB5-5C5C-4759-AABD-5019201DFD7D}">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28D9E5A5-BB39-4108-B5B9-4B384FC388AC}">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8ED053EA-EBD1-46AE-A62A-FBD848D3A5D0}">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D1F761EA-2ADF-4D42-BFD7-5F470DEE0D3D}">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3CA17AFA-6801-4E09-815D-9A762F446DE0}">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EBF55E3A-A618-443B-9015-131BD1722E63}">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C83D8673-D2D3-4F12-93E8-EF719EF47FCB}">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554D6C1E-15DA-40DD-A322-3FBB1389E38A}">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557D1BF9-041B-4E70-81C5-3A75F6B75E84}">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5CC511D6-611F-4F6B-BA71-DDE756FA572A}">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F8AF1CA4-CE53-49C8-A288-583D3316909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71D2706-986F-461D-9D93-B59B1B1473F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A165520C-6DAC-4424-977A-428C23E082BC}">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1C2C675B-1234-423F-BD3A-3F5AA95B408F}">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374DCAA1-21A1-45EE-95E0-5C68EF1EA536}">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3536EBBD-4DDE-49E7-9BCD-79C11D20C1AE}">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8A9753A8-24A2-4241-96BD-6AB47001E3B9}">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B3C8ED74-4F94-43E9-9874-6C535509FBFB}">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595AA297-6D76-4F1F-BB5B-A5B3895D02B2}">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AE5B74BB-E1E0-445D-A737-D429AA003FBF}">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911EC807-7EA5-487D-8782-9D6F026BA3D3}">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4F435B71-4269-49A1-BFCA-16E3303F662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407BD8B-4FC6-4BBD-8F5E-C4DB080653C3}">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0C42028E-4241-4937-86E0-6D20E36CDBDF}">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94994B82-8D8E-4C26-86D1-956C61F7735E}">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7964B4E2-D229-4357-82B5-B82BEE0CAED4}">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2F90FBB9-ED1B-4580-8F1D-D706FDF93F77}">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1637A726-6698-4CAC-9AE4-A75868A5CE29}">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912DB03A-5B21-44B0-A162-4649CF310611}">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C5B79038-4041-4E1C-99F1-446BC088B336}">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5EFB5597-9FCF-4D4D-BC3C-5B23B871F77D}">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5309CF6A-3E65-49D2-BDD4-CD85EED0EF06}">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654EC6F1-B99D-4C95-8FAD-383B7904E40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8D77A63-54B3-4CD0-83FA-2DAB0C45F06B}">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60DE4E9A-A500-47F3-9FCE-A9EF476674A7}">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A5D06A74-2744-4BC9-B6A4-6C9F55D2CB82}">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39EE355C-37E6-4AAB-A354-40C5756970E2}">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430C028C-66B1-4843-8444-BD4814055E06}">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57E37226-CEF2-4031-8FB7-1865FC0796FB}">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ED0B171F-6052-429D-AF51-EB1153B23DB1}">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2D44E15F-AFF6-41C2-BEF4-976A759AC92D}">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757C7316-347D-42C2-90C7-1D3EA1D34FF8}">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AA13FFBA-6721-4E1C-B511-D1CE05E4CA75}">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1983BE5D-F9B2-4AC9-9B5D-F934721D9B5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1FD2AC2-E550-4648-A426-F23A6B11CC9C}">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E4B33463-21BB-4993-A6D2-D09E51C66732}">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3635F89A-0287-48C8-962E-1B29FF0DC54E}">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AE292741-880E-4CA3-91F9-40CD6635ADFF}">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84C3F84B-7211-4DC1-B097-786C3D8B21D9}">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30E44D44-BF23-4405-AD66-63688705299F}">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D3AE9D5D-57A7-43F3-8D3F-0FDBA1456936}">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28E15577-A924-4B70-BFB6-2BEAB5015D75}">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858EB0EF-CDCA-4B8C-B51D-8D8025FA544D}">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7895C3D4-42C4-4D51-BD29-310BAC67172B}">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6F8D71EA-A930-4246-B280-8CD759899EB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ED2D2FA-63D9-4ACE-B3DB-B6A14ACD81B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9193685-A968-45B7-8156-302573E08D01}">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562D9A04-39FA-4C25-9BD5-A80E80FFC726}">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A1DD5443-A436-44D0-AE25-247C2B0AEAFA}">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CDD71B7A-E196-4F35-9A9D-712C60974A65}">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BE62DD55-F1C8-475C-809D-34F48C5565CB}">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466EA710-B4B8-4A43-8965-C109DC68D3C5}">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A1DED8FC-7F0E-4554-8AE0-6F72640BA870}">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47522231-80E1-4C64-B10F-88F098B61C5F}">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2CB3BB22-43EB-428E-9701-DD3DDB81773B}">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CE46F175-AAD9-4C75-ABB0-3F3BDD4DC761}">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22F61FCA-77ED-48BE-8C43-0B19A7C18DB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9E2215B-6B33-46F8-AF34-91B192D93A3A}">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81172C45-AFD4-4773-841D-7AE8996E7B9A}">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D33ABAF7-EC71-4B84-BF6F-829054B6F11F}">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15B04EDB-AE84-4561-9F59-83817A80D074}">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5814E95A-A557-4FB8-9C8C-111AF90D84D3}">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CFB84743-3484-4155-A372-92F7B88F6EAF}">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CF542650-D347-41CE-8E15-E1BEBA2D7714}">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E0AB5BA1-AC80-449A-976A-8EB4645AC74F}">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AA6029CC-B8CB-442B-92C9-49CC00CA2692}">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5E54F98E-93A4-45EB-A24B-1CC9A2D9DB4A}">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0BE77C9F-39F4-4C13-A455-C46C61BE94FE}">
  <ds:schemaRefs>
    <ds:schemaRef ds:uri="http://schemas.openxmlformats.org/officeDocument/2006/bibliography"/>
  </ds:schemaRefs>
</ds:datastoreItem>
</file>

<file path=customXml/itemProps22.xml><?xml version="1.0" encoding="utf-8"?>
<ds:datastoreItem xmlns:ds="http://schemas.openxmlformats.org/officeDocument/2006/customXml" ds:itemID="{2A170E08-C0E3-4C71-9A73-10C92561F65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A4F2A9F-9895-46DB-8F1C-43BD30549F7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B4AEA60-0C36-4821-9A84-8AB72B4924A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A54A2C2-F9B0-47EB-981B-05694F62811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81C5646-9397-413D-A948-D0623DD2D94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D07D0E8-C221-4FE8-A85C-1493D5296CD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28789C3-2D07-4001-87FD-0EF5295CA0A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B4A44A6-BF6A-4B31-9ABB-707A0FEAADA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EA64579-0BD5-4738-AF3B-D37365EA052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8BC3008-5D3E-48E4-8554-A0428B90571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30D095E-3F70-4693-80AD-1163A4A5C24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6E1C7FC-5D7A-4BA3-BF9F-E154FF5D8C8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079AF07-F15D-452A-A6ED-E1274FF81F9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771C5BF-8D63-4A42-9990-7B1425FA697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37E583C-D330-4CDA-92F4-08103A5F023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FB8236E-9810-4EE2-A159-37E7D3F90F4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E3ECBF7-A941-410E-919D-13EC20C38EE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273F42D-CA02-4529-8E83-B7E3EDE0F1D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1BFD036-711E-4508-BE15-D105E0AD337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57D9931-BB3D-41F9-AFAC-989CD5ECA60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01CF60A-0E04-4F62-9D3D-8E0190DAE6B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CB4C4EA-3DBB-4771-A944-AB50C79C1A5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32A17AD-349C-4634-9FAB-9B994BC00B0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36DABAE-F2A4-4B22-9317-EED40FFFF12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17D6DDC-770C-4F7C-9CEE-7AECF8B497E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C2B5C60-DB79-4279-915C-CF7882C9CD8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9ED6F98-C701-4779-81AB-F53FB65B436F}">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F9599B3-EA1C-474C-9A69-7E428182B27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9009442-EFBC-4BAC-81B8-C05E0D9DB96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BB681D7-9075-4B77-B0A2-39311FDF020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4F4D88B-59E8-4D12-ADD8-339EC4EE917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4723387B-E609-46F1-9EFF-6EA9C582462B}">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9B71E9A-3F44-419E-82A8-BA86C4607BF6}">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2850489-92A1-4EBE-91F4-8C9BCC2B1217}">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A9EDD398-08A5-4BAB-838C-4D31995CC13C}">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699C1D09-A851-42FC-A164-7D217088380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85518E9-BDB1-44E8-A12B-03F85981686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67B2CF9-6803-461F-8A43-708461825E2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DFB5DDF-9168-4D77-8F15-C5ACB15A632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1501E4FC-F597-4CCC-86DA-D7A4D031071F}">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D4CE6E9-79DF-4E55-A9E6-FE06966019E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CB602BF-D06F-40E5-8B2F-5A8A215B700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473B1A5-913C-4396-A97A-76A8EB7E799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3CAA3B0-849A-4FAE-9F8E-D44911302331}">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090AB149-FACC-4F05-9867-064E538D754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B37B56C0-8ADC-4685-8256-64872D8349F5}">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303F5D0-7247-4647-B940-CE3CA682745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EB33C9F3-D182-46E5-BA54-7041957747F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10805611-6164-422C-AC7A-1BE31D72D70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A56B4E2-05D9-4484-82E7-07398B1F0350}">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A758F89-9D57-4DD5-9CB9-506E7051EB06}">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91F062DB-D622-4808-9DCD-A7DC507CAC7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BDB09A1-B119-46FE-96B5-1DC74929B05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59E407B-B1C4-4285-AF27-0E2305860FF0}">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BFC033C-C3C2-485C-BC53-FC6913EA335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CD63A8D-25A7-4E88-A77C-AD7F330FCE2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F0B44F9-36FA-4C80-86FE-DA6271626D1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B3AAFB2-D790-4571-B035-764F574FC0E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2D1F2E28-7638-42FF-AD57-108824EA5DE1}">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87BC5954-6A39-4173-8F07-48100A754DB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D1A5891B-C899-4FA4-A578-FC6184755076}">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3FDAC99-0F29-4C18-8A4B-11D43327755C}">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178C4ED2-A01F-4E2F-A792-B349D5D8BEB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77F4262-0DD0-402C-B53A-FD3666588580}">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4534BCB-4DD9-499E-AE4D-8560908BF13D}">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48C942D2-44E9-4CC3-8B5E-E562A1B6C5DB}">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28D5D2B-4C7B-4DA3-AB71-6F336C96E226}">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63C89CEE-AB69-49C3-BEC7-8E3A9CF2E6AA}">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AC0B1CC7-C2FA-4FDE-AEEA-1273A8D0C27A}">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3A8E5A0F-D396-4E65-89A2-26815EA431E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04ACE38D-7DB6-4CB8-AC59-A31752D11602}">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11B94271-7AA6-4CAE-8685-4EB340C4F2DE}">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31B247EB-7950-437E-AD9D-4E4C5FC9D9DB}">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E638EE4A-A4F7-42F1-9307-B46792D04D1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DA565D4-016C-4D9A-A420-6007A30374BF}">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01401362-3A47-4654-AD21-4A4570409474}">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12522267-6E35-4147-920F-D0AAE258EC95}">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53C63E32-97D9-4709-BC52-F74C287B2C7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C8F4A2CC-6474-4017-BC7E-EC50890729EA}">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D0CDADFE-7CD4-4254-8D59-39595946F70F}">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24780E13-68F9-44FD-B0B0-1D3436B776E5}">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B57CD4C5-C802-4E6C-80EA-A514F964977C}">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D79861D1-9412-4051-A587-2953C7A891A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EA4EBFAA-01C1-4A85-8E34-B61971BC9A97}">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62952D90-9F3E-43DC-944D-FBC6D69DF15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2023-02-08T17:24:00Z</dcterms:created>
  <dcterms:modified xsi:type="dcterms:W3CDTF">2023-02-23T01:09:00Z</dcterms:modified>
</cp:coreProperties>
</file>