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仿宋_GB2312" w:cs="Times New Roman"/>
          <w:sz w:val="32"/>
          <w:szCs w:val="32"/>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市人社</w:t>
      </w:r>
      <w:r>
        <w:rPr>
          <w:rFonts w:ascii="方正小标宋简体" w:hAnsi="黑体" w:eastAsia="方正小标宋简体"/>
          <w:sz w:val="44"/>
          <w:szCs w:val="44"/>
        </w:rPr>
        <w:t>执法</w:t>
      </w:r>
      <w:r>
        <w:rPr>
          <w:rFonts w:hint="eastAsia" w:ascii="方正小标宋简体" w:hAnsi="黑体" w:eastAsia="方正小标宋简体"/>
          <w:sz w:val="44"/>
          <w:szCs w:val="44"/>
        </w:rPr>
        <w:t>总队落实</w:t>
      </w:r>
      <w:r>
        <w:rPr>
          <w:rFonts w:ascii="方正小标宋简体" w:hAnsi="黑体" w:eastAsia="方正小标宋简体"/>
          <w:sz w:val="44"/>
          <w:szCs w:val="44"/>
        </w:rPr>
        <w:t>“双随机</w:t>
      </w:r>
      <w:r>
        <w:rPr>
          <w:rFonts w:hint="eastAsia" w:ascii="方正小标宋简体" w:hAnsi="黑体" w:eastAsia="方正小标宋简体"/>
          <w:sz w:val="44"/>
          <w:szCs w:val="44"/>
        </w:rPr>
        <w:t>、</w:t>
      </w:r>
      <w:r>
        <w:rPr>
          <w:rFonts w:ascii="方正小标宋简体" w:hAnsi="黑体" w:eastAsia="方正小标宋简体"/>
          <w:sz w:val="44"/>
          <w:szCs w:val="44"/>
        </w:rPr>
        <w:t>一</w:t>
      </w:r>
      <w:r>
        <w:rPr>
          <w:rFonts w:hint="eastAsia" w:ascii="方正小标宋简体" w:hAnsi="黑体" w:eastAsia="方正小标宋简体"/>
          <w:sz w:val="44"/>
          <w:szCs w:val="44"/>
        </w:rPr>
        <w:t>公</w:t>
      </w:r>
      <w:r>
        <w:rPr>
          <w:rFonts w:ascii="方正小标宋简体" w:hAnsi="黑体" w:eastAsia="方正小标宋简体"/>
          <w:sz w:val="44"/>
          <w:szCs w:val="44"/>
        </w:rPr>
        <w:t>开”</w:t>
      </w: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年度计划开展</w:t>
      </w:r>
      <w:r>
        <w:rPr>
          <w:rFonts w:hint="eastAsia" w:ascii="Times New Roman" w:hAnsi="Times New Roman" w:eastAsia="方正小标宋简体" w:cs="Times New Roman"/>
          <w:sz w:val="44"/>
          <w:szCs w:val="44"/>
        </w:rPr>
        <w:t>2023</w:t>
      </w:r>
      <w:r>
        <w:rPr>
          <w:rFonts w:hint="eastAsia" w:ascii="方正小标宋简体" w:hAnsi="黑体" w:eastAsia="方正小标宋简体"/>
          <w:sz w:val="44"/>
          <w:szCs w:val="44"/>
        </w:rPr>
        <w:t>年度日常巡查</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结果的</w:t>
      </w:r>
      <w:r>
        <w:rPr>
          <w:rFonts w:ascii="方正小标宋简体" w:hAnsi="黑体" w:eastAsia="方正小标宋简体"/>
          <w:sz w:val="44"/>
          <w:szCs w:val="44"/>
        </w:rPr>
        <w:t>公</w:t>
      </w:r>
      <w:r>
        <w:rPr>
          <w:rFonts w:hint="eastAsia" w:ascii="方正小标宋简体" w:hAnsi="黑体" w:eastAsia="方正小标宋简体"/>
          <w:sz w:val="44"/>
          <w:szCs w:val="44"/>
        </w:rPr>
        <w:t>布</w:t>
      </w:r>
    </w:p>
    <w:p>
      <w:pPr>
        <w:spacing w:line="600" w:lineRule="exact"/>
        <w:jc w:val="center"/>
        <w:rPr>
          <w:rFonts w:ascii="方正小标宋简体" w:hAnsi="黑体" w:eastAsia="方正小标宋简体"/>
          <w:sz w:val="44"/>
          <w:szCs w:val="44"/>
        </w:rPr>
      </w:pPr>
    </w:p>
    <w:p>
      <w:pPr>
        <w:pStyle w:val="4"/>
        <w:adjustRightInd w:val="0"/>
        <w:snapToGrid w:val="0"/>
        <w:spacing w:line="600" w:lineRule="exact"/>
        <w:ind w:firstLine="640" w:firstLineChars="200"/>
        <w:jc w:val="both"/>
        <w:rPr>
          <w:rFonts w:eastAsia="仿宋_GB2312"/>
          <w:sz w:val="32"/>
          <w:szCs w:val="32"/>
        </w:rPr>
      </w:pPr>
      <w:r>
        <w:rPr>
          <w:rFonts w:eastAsia="仿宋_GB2312"/>
          <w:sz w:val="32"/>
          <w:szCs w:val="32"/>
        </w:rPr>
        <w:t>为进一步贯彻落实《劳动合同法》、《社会保险法》等劳动保障法律法规，</w:t>
      </w:r>
      <w:r>
        <w:rPr>
          <w:rFonts w:eastAsia="仿宋_GB2312"/>
          <w:sz w:val="32"/>
        </w:rPr>
        <w:t>依法维护劳动者合法权益，努力</w:t>
      </w:r>
      <w:r>
        <w:rPr>
          <w:rFonts w:eastAsia="仿宋_GB2312"/>
          <w:sz w:val="32"/>
          <w:szCs w:val="32"/>
        </w:rPr>
        <w:t>构建和谐劳动关系，结合工作实际，市人社执法总队采取“双随机、一公开”方式，于2023年9月1日至2023年11月25日，在全市范围内组织开展对用人单位遵守劳动用工法律法规情况的日常巡视检查。现将检查结果公布如下：</w:t>
      </w:r>
    </w:p>
    <w:p>
      <w:pPr>
        <w:widowControl/>
        <w:jc w:val="left"/>
        <w:rPr>
          <w:rFonts w:ascii="Times New Roman" w:hAnsi="Times New Roman" w:eastAsia="仿宋_GB2312" w:cs="Times New Roman"/>
          <w:sz w:val="32"/>
          <w:szCs w:val="32"/>
        </w:rPr>
        <w:sectPr>
          <w:pgSz w:w="11906" w:h="16838"/>
          <w:pgMar w:top="1701" w:right="1588" w:bottom="2268" w:left="1588" w:header="851" w:footer="992" w:gutter="0"/>
          <w:cols w:space="425" w:num="1"/>
          <w:docGrid w:type="lines" w:linePitch="312" w:charSpace="0"/>
        </w:sectPr>
      </w:pPr>
      <w:r>
        <w:rPr>
          <w:rFonts w:ascii="Times New Roman" w:hAnsi="Times New Roman" w:eastAsia="仿宋_GB2312" w:cs="Times New Roman"/>
          <w:sz w:val="32"/>
          <w:szCs w:val="32"/>
        </w:rPr>
        <w:br w:type="page"/>
      </w:r>
    </w:p>
    <w:tbl>
      <w:tblPr>
        <w:tblStyle w:val="8"/>
        <w:tblW w:w="11887" w:type="dxa"/>
        <w:tblInd w:w="20" w:type="dxa"/>
        <w:tblLayout w:type="autofit"/>
        <w:tblCellMar>
          <w:top w:w="0" w:type="dxa"/>
          <w:left w:w="108" w:type="dxa"/>
          <w:bottom w:w="0" w:type="dxa"/>
          <w:right w:w="108" w:type="dxa"/>
        </w:tblCellMar>
      </w:tblPr>
      <w:tblGrid>
        <w:gridCol w:w="590"/>
        <w:gridCol w:w="3630"/>
        <w:gridCol w:w="2817"/>
        <w:gridCol w:w="1506"/>
        <w:gridCol w:w="3344"/>
      </w:tblGrid>
      <w:tr>
        <w:trPr>
          <w:trHeight w:val="735" w:hRule="atLeast"/>
        </w:trPr>
        <w:tc>
          <w:tcPr>
            <w:tcW w:w="11887" w:type="dxa"/>
            <w:gridSpan w:val="5"/>
            <w:tcBorders>
              <w:top w:val="nil"/>
              <w:left w:val="nil"/>
              <w:bottom w:val="nil"/>
              <w:right w:val="nil"/>
            </w:tcBorders>
            <w:shd w:val="clear" w:color="auto" w:fill="auto"/>
            <w:noWrap/>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2023年日常巡查</w:t>
            </w:r>
            <w:bookmarkStart w:id="0" w:name="_GoBack"/>
            <w:bookmarkEnd w:id="0"/>
            <w:r>
              <w:rPr>
                <w:rFonts w:hint="eastAsia" w:ascii="仿宋_GB2312" w:hAnsi="宋体" w:eastAsia="仿宋_GB2312" w:cs="宋体"/>
                <w:b/>
                <w:bCs/>
                <w:kern w:val="0"/>
                <w:sz w:val="24"/>
                <w:szCs w:val="24"/>
              </w:rPr>
              <w:t>检查结果</w:t>
            </w:r>
          </w:p>
        </w:tc>
      </w:tr>
      <w:tr>
        <w:trPr>
          <w:trHeight w:val="735" w:hRule="atLeast"/>
        </w:trPr>
        <w:tc>
          <w:tcPr>
            <w:tcW w:w="59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363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单位名称</w:t>
            </w:r>
          </w:p>
        </w:tc>
        <w:tc>
          <w:tcPr>
            <w:tcW w:w="2817"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信用机构代码</w:t>
            </w:r>
          </w:p>
        </w:tc>
        <w:tc>
          <w:tcPr>
            <w:tcW w:w="150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检查时间</w:t>
            </w:r>
          </w:p>
        </w:tc>
        <w:tc>
          <w:tcPr>
            <w:tcW w:w="3344"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处理结果</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朗迪课外教育学校（天津）有限公司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91120102MA06HYDM03</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2023-09-05</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发现轻微问题已指导纠正。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天津通卡智能网络科技股份有限公司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91120105718223350K</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2023-09-20</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天津市邮电设计院有限责任公司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911201042390156771</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2023-09-19</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发现轻微问题已指导纠正。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天津市河东区瑞恒职业培训学校</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52120102MJ06641134</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2023-09-12</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天津通宝乐器有限公司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9112010560055180X6</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2023-09-22</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中协通通信技术有限公司天津分公司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91120222MA05XNM98H</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2023-09-25</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天津中电华利电器科技集团有限公司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91120000684741597K</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2023-09-08</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天津市餐旅职业培训学校</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52120101732823803R</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2023-09-05</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汇文课外培训学校（天津）有限公司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91120102MA06HYEG8C</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2023-09-04</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申通快递有限公司天津分公司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911201120915960728</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2023-09-18</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京瓷安施电子元件（天津）有限公司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9112011673282315XE</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2023-09-18</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天津市仁好职业培训学校</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52120102770607191P</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2023-09-13</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天津怀仁制药有限公司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911201112389964770</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2023-09-15</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天津市河东区匠仁职业培训学校</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52120102MJ05066848</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2023-09-11</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天津展鸿职业培训学校有限公司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91120102MA7EA6BR4L</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2023-09-14</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百度在线网络技术（北京）有限公司天津分公司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91120000MA06X2UT6T</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2023-10-12</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松尾（天津）电子有限公司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91120111773614661M</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2023-09-20</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天津市东星职业培训学校</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52120102761272107W</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2023-09-13</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天津电气科学研究院有限公司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91120102401360285H</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2023-09-20</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万达电影股份有限公司天津共享服务分公司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911201023285824388</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2023-09-18</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天津佰焰科技股份有限公司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91120000550395473E</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2023-09-14</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天津新启点培训学校有限公司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91120104MA06H5JP46</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2023-10-08</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天津市河北区易优教育培训学校</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521201053409768947</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2023-10-08</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天津博朗科技发展有限公司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91120116754806406R</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2023-09-19</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金色贝贝培训学校（天津）有限公司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91120105MA05Y3JM6C</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2023-10-07</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北京世纪卓越信息技术有限公司天津第二分公司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91120222589772061R</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2023-09-13</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科仪工业（天津）有限公司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91120111663063408C</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2023-09-20</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轻微违法行为不予行政处罚、发现问题已责令改正。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天津恒瑞永信网络科技发展有限公司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91120116559484579D</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2023-09-15</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29</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国网电商科技有限公司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91120116586435019Y</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2023-09-27</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五八同城信息技术有限公司天津分公司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91120116300693320X</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2023-09-25</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天津联讯通商贸有限公司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91120111341038365X</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2023-09-20</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声动新青年培训学校（天津）有限责任公司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91120105MA071UY74X</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2023-10-11</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33</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天津市安华润粮油贸易有限公司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91120111671489281E</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2023-09-14</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34</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天津谷川科技有限公司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91120111694079138X</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2023-09-11</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35</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天津武清百川燃气销售有限公司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91120222773609619Q</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2023-09-19</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36</w:t>
            </w:r>
          </w:p>
        </w:tc>
        <w:tc>
          <w:tcPr>
            <w:tcW w:w="363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北光科技发展（天津）有限公司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91120116660342102F</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2023-09-18</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37</w:t>
            </w:r>
          </w:p>
        </w:tc>
        <w:tc>
          <w:tcPr>
            <w:tcW w:w="3630" w:type="dxa"/>
            <w:tcBorders>
              <w:top w:val="nil"/>
              <w:left w:val="nil"/>
              <w:bottom w:val="nil"/>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大跃啤酒酿造（天津）有限公司</w:t>
            </w:r>
          </w:p>
        </w:tc>
        <w:tc>
          <w:tcPr>
            <w:tcW w:w="2817" w:type="dxa"/>
            <w:tcBorders>
              <w:top w:val="nil"/>
              <w:left w:val="nil"/>
              <w:bottom w:val="single" w:color="000000" w:sz="4" w:space="0"/>
              <w:right w:val="single" w:color="000000"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91120000MA07E8466D</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2023-10-09</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发现轻微问题已指导纠正。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38</w:t>
            </w:r>
          </w:p>
        </w:tc>
        <w:tc>
          <w:tcPr>
            <w:tcW w:w="3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天津市文光集团有限公司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91120000600845103D</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2023-09-12</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39</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天诚东方（天津）发展有限公司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9112010266305697XX</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2023-09-11</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发现问题，待后续处理。</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40</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唯品会（天津）电子商务有限公司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91120222598744257R</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2023-09-13</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41</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天津市河西中豪培优教育培训学校有限公司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91120103MA06WG7L74</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2023-09-26</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42</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天津河西区慧读培训学校有限公司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91120103MA06JAUF7P</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2023-10-12</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43</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天津市河西区花与少年艺术培训学校有限公司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91120103MA06UUC04A</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2023-09-25</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44</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天津艺海川培训学校有限公司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91120103MA06XJQ18A</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2023-09-25</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45</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河北银行股份有限公司天津分行</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911201036974341587</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2023-09-21</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46</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凌霄（天津）工业互联网有限公司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91120103MA0793PQ25</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2023-09-22</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47</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天津ABB开关有限公司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91120113675986031T</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2023-09-28</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48</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天津辰峰织带有限公司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911201136005448616</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2023-09-13</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49</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天津东弘船舶管理有限公司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91120116MA05LLR56Y</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2023-09-12</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50</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天津市工具研究所有限公司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91120103401201786M</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2023-09-14</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51</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天津市泰斯特仪器有限公司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911201047128595850</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2023-09-11</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52</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天津长芦海晶集团有限公司滨海新区第三分公司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91120116MA06BBHT89</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2023-09-12</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53</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天津城市一卡通有限公司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911201167773126950</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2023-09-19</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54</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银联商务股份有限公司天津分公司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911201037522178193</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2023-09-21</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55</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永丰余纸业（天津）有限公司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91120113732797588C</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2023-09-13</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56</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球明汽车零部件（天津）有限公司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911202235723247724</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2023-09-11</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轻微违法行为不予行政处罚、发现问题已责令改正。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57</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香奈维斯（天津）食品有限公司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91120113058702750U</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2023-09-13</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轻微违法行为不予行政处罚、发现问题已责令改正。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58</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天津市南开区爱雅职业培训学校</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52120104341028415K</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2023-10-19</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59</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天津大行道漫联职业培训学校有限公司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91120104MA075B1W9B</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2023-10-09</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60</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天津市鸿远电气股份有限公司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91120000749111618F</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2023-10-07</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61</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天津市南开区加悦职业培训学校有限公司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91120104MA07EKC353</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2023-09-22</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62</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天津市南开区家医职业培训学校</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52120104MJ0507214E</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2023-09-20</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63</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天津津旅泊泰投资发展有限公司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91120223069859964D</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2023-09-27</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64</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天津市河西区康健职业培训学校</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52120103MJ06820558</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2023-09-20</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65</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天津市翼嘉职业培训学校有限公司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91120104MA7KNW6T65</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2023-10-19</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66</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天津市分众彤盛广告传播有限公司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9112010470056152XU</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2023-10-12</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67</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天津光荣特库摩软件有限公司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91120104600553450T</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2023-09-08</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68</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津药达仁堂集团股份有限公司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91120000103100784F</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2023-09-20</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69</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天津长宽电信城域网服务有限公司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91120104727522416M</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2023-10-07</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70</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天津开利达控制技术开发有限公司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91120104738491096U</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2023-09-08</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轻微违法行为不予行政处罚、发现问题已责令改正。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71</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荣汉电子（天津）有限公司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911201126005129742</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2023-09-14</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轻微违法行为不予行政处罚、发现问题已责令改正。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72</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光明半导体（天津）有限公司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9112011270340576N</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2023-09-14</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轻微违法行为不予行政处罚、发现问题已责令改正。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73</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天津泰士康医疗科技有限公司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91120112569320463E</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2023-09-07</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74</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天津市阳权医疗器械有限公司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91120112767633700F</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2023-09-14</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75</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爱索尔（广州）包装有限公司天津分公司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91120112687706404L</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2023-09-08</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轻微违法行为不予行政处罚、发现问题已责令改正。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76</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天津泰新垃圾发电有限公司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91120112764343409P</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2023-09-07</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轻微违法行为不予行政处罚、发现问题已责令改正。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77</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天津华易智诚科技发展有限公司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9112011259143319R</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2023-09-07</w:t>
            </w:r>
          </w:p>
        </w:tc>
        <w:tc>
          <w:tcPr>
            <w:tcW w:w="3344"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78</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英业达集团(天津)电子技术有限公司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911201046005288297</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2023-09-20</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79</w:t>
            </w:r>
          </w:p>
        </w:tc>
        <w:tc>
          <w:tcPr>
            <w:tcW w:w="3630" w:type="dxa"/>
            <w:tcBorders>
              <w:top w:val="nil"/>
              <w:left w:val="nil"/>
              <w:bottom w:val="nil"/>
              <w:right w:val="nil"/>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天津市函霓韵裳文化传播有限公司</w:t>
            </w:r>
          </w:p>
        </w:tc>
        <w:tc>
          <w:tcPr>
            <w:tcW w:w="2817"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91120104300660553C</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2023-09-26</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80</w:t>
            </w:r>
          </w:p>
        </w:tc>
        <w:tc>
          <w:tcPr>
            <w:tcW w:w="3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天津市工大英才培训学校有限公司南开分公司</w:t>
            </w:r>
          </w:p>
        </w:tc>
        <w:tc>
          <w:tcPr>
            <w:tcW w:w="2817" w:type="dxa"/>
            <w:tcBorders>
              <w:top w:val="nil"/>
              <w:left w:val="nil"/>
              <w:bottom w:val="single" w:color="000000"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91120104MA06TQJH1M</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2023-09-26</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81</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天津市河北区育林职业培训学校</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52120105MJ0677926L</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2023-09-18</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发现轻微问题已指导纠正。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82</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天津市红桥区七星耀彩职业培训学校</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52120106MJ0588018H</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2023-09-11</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83</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天津市北方专修培训学校有限公司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91120101MA06QLGE85</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2023-10-16</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84</w:t>
            </w:r>
          </w:p>
        </w:tc>
        <w:tc>
          <w:tcPr>
            <w:tcW w:w="36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天津市眼科医院视光中心有限公司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91120101103135194D</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2023-10-17</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发现问题已责令改正。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85</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前锦网络信息技术（上海）有限公司天津分公司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91120101578341565Y</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2023-09-20</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86</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麦格纳汽车动力总成（天津）有限公司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911201165813388268</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2023-10-08</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轻微违法行为不予行政处罚、发现问题已责令改正。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87</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泊姆克（天津）液压有限公司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91120116700595690F</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2023-09-19</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88</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巴克立伟（天津）液压设备有限公司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91120110797290147Y</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2023-09-07</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轻微违法行为不予行政处罚、发现问题已责令改正。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89</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葛兰素史克（天津）有限公司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91120116600891249Y</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2023-09-21</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90</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浦项（天津）钢材加工有限公司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911201166005394213</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2023-10-25</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轻微违法行为不予行政处罚、发现问题已责令改正。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天津市红桥区博方职业培训学校</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52120106MJ0668843M</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2023-09-06</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92</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天津市艺诺思培训学校有限公司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91120101MA06FWPD7W</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2023-10-25</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93</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树心（天津）培训学校有限公司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91120101MA0748XJ2H</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2023-09-05</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94</w:t>
            </w:r>
          </w:p>
        </w:tc>
        <w:tc>
          <w:tcPr>
            <w:tcW w:w="36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纳爱斯集团有限公司天津分公司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91120102727529036N</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2023-09-12</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95</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德马吉森精机（天津）机床有限公司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911201165961000607</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2023-09-26</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96</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液化空气天津滨海有限公司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91120116777334608X</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2023-10-19</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轻微违法行为不予行政处罚、发现问题已责令改正。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97</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中航航空服务保障（天津）有限公司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91120000562667886W</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2023-09-12</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98</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天津滨海新区环汉固废综合处理有限公司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91120116550398391M</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2023-09-13</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99</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天津滨海泰达航母旅游集团股份有限公司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91120116786366847U</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2023-09-13</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100</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天津泰达绿化科技集团股份有限公司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91120116104312324F</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2023-09-26</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101</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天津市东丽区盛欣职业培训学校有限公司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91120110MA076HP876</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2023-09-26</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102</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天津优彩艺术培训学校有限公司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91120101MA06JEHK60</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2023-09-20</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103</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天津市红桥区思哲培训学校有限公司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91120106MA06KYJR6F</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2023-09-21</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104</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首航高科能源技术股份有限公司天津分公司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911202245565461728</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2023-09-27</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轻微违法行为不予行政处罚、发现问题已责令改正。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105</w:t>
            </w:r>
          </w:p>
        </w:tc>
        <w:tc>
          <w:tcPr>
            <w:tcW w:w="363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天津众业达电气有限公司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911201062391369462</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2023-09-20</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106</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天津港国际物流发展有限公司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911201167440479609</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2023-09-12</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107</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中外运物流（天津）有限公司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91120116684733298P</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2023-09-11</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108</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京东医药（天津）有限公司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9112011369409029X6</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2023-09-20</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109</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天津港港湾国际汽车物流有限公司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91120116055293218W</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2023-09-12</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110</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天津经纬智图信息技术有限公司</w:t>
            </w:r>
          </w:p>
        </w:tc>
        <w:tc>
          <w:tcPr>
            <w:tcW w:w="2817"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91120116300538929Y</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2023-09-01</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111</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天津市和平区物协人力资源职业培训学校</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52120101MJ0502931F</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2023-09-14</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112</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天津楷瀛教育培训学校有限公司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91120101MA079NBD1Y</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2023-09-18</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113</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天津市红桥区水木乐童教育培训学校有限公司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91120106MA06WCE5XY</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2023-09-14</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114</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天津友圣发国际贸易有限公司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9112010605528272XW</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2023-09-21</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115</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天津航天和兴科技有限公司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91120110MA06GMPB97</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2023-09-11</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发现轻微问题已指导纠正。</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116</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中科软（天津）信息技术有限公司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91120116086562679J</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2023-09-15</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117</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天津微纳芯科技有限公司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91120116559487534F</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2023-09-01</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118</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天津用友软件技术有限公司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911201162389967173</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2023-09-26</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119</w:t>
            </w:r>
          </w:p>
        </w:tc>
        <w:tc>
          <w:tcPr>
            <w:tcW w:w="36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大美（天津）网络科技有限公司</w:t>
            </w:r>
          </w:p>
        </w:tc>
        <w:tc>
          <w:tcPr>
            <w:tcW w:w="28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91120110328698043B</w:t>
            </w:r>
          </w:p>
        </w:tc>
        <w:tc>
          <w:tcPr>
            <w:tcW w:w="1506" w:type="dxa"/>
            <w:tcBorders>
              <w:top w:val="nil"/>
              <w:left w:val="nil"/>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2023-09-21</w:t>
            </w:r>
          </w:p>
        </w:tc>
        <w:tc>
          <w:tcPr>
            <w:tcW w:w="3344"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未发现问题，终止检查。</w:t>
            </w:r>
          </w:p>
        </w:tc>
      </w:tr>
      <w:tr>
        <w:trPr>
          <w:trHeight w:val="735" w:hRule="atLeast"/>
        </w:trPr>
        <w:tc>
          <w:tcPr>
            <w:tcW w:w="590"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120</w:t>
            </w:r>
          </w:p>
        </w:tc>
        <w:tc>
          <w:tcPr>
            <w:tcW w:w="363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天津新速达信息技术有限公司</w:t>
            </w:r>
          </w:p>
        </w:tc>
        <w:tc>
          <w:tcPr>
            <w:tcW w:w="2817" w:type="dxa"/>
            <w:tcBorders>
              <w:top w:val="nil"/>
              <w:left w:val="nil"/>
              <w:bottom w:val="single" w:color="auto" w:sz="8" w:space="0"/>
              <w:right w:val="single" w:color="auto" w:sz="4" w:space="0"/>
            </w:tcBorders>
            <w:shd w:val="clear" w:color="auto" w:fill="auto"/>
            <w:noWrap/>
            <w:vAlign w:val="center"/>
          </w:tcPr>
          <w:p>
            <w:pPr>
              <w:widowControl/>
              <w:jc w:val="cente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91120116MA06XUUPXY</w:t>
            </w:r>
          </w:p>
        </w:tc>
        <w:tc>
          <w:tcPr>
            <w:tcW w:w="1506" w:type="dxa"/>
            <w:tcBorders>
              <w:top w:val="nil"/>
              <w:left w:val="nil"/>
              <w:bottom w:val="single" w:color="auto" w:sz="8"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2023-09-15</w:t>
            </w:r>
          </w:p>
        </w:tc>
        <w:tc>
          <w:tcPr>
            <w:tcW w:w="334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轻微违法行为不予行政处罚、发现问题已责令改正。</w:t>
            </w:r>
          </w:p>
        </w:tc>
      </w:tr>
    </w:tbl>
    <w:p>
      <w:pPr>
        <w:widowControl/>
        <w:jc w:val="left"/>
        <w:rPr>
          <w:rFonts w:ascii="仿宋_GB2312" w:hAnsi="仿宋" w:eastAsia="仿宋_GB2312"/>
          <w:sz w:val="32"/>
          <w:szCs w:val="32"/>
        </w:rPr>
      </w:pPr>
    </w:p>
    <w:p>
      <w:pPr>
        <w:pStyle w:val="4"/>
        <w:adjustRightInd w:val="0"/>
        <w:snapToGrid w:val="0"/>
        <w:spacing w:line="600" w:lineRule="exact"/>
        <w:jc w:val="both"/>
        <w:rPr>
          <w:rFonts w:eastAsia="仿宋_GB2312"/>
          <w:sz w:val="32"/>
          <w:szCs w:val="32"/>
        </w:rPr>
      </w:pPr>
    </w:p>
    <w:sectPr>
      <w:pgSz w:w="16838" w:h="11906" w:orient="landscape"/>
      <w:pgMar w:top="1588" w:right="1701" w:bottom="1588" w:left="226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4E"/>
    <w:rsid w:val="00020FA9"/>
    <w:rsid w:val="00083ED8"/>
    <w:rsid w:val="000E3559"/>
    <w:rsid w:val="000F38E8"/>
    <w:rsid w:val="001057D5"/>
    <w:rsid w:val="001470C6"/>
    <w:rsid w:val="00182309"/>
    <w:rsid w:val="001A41B7"/>
    <w:rsid w:val="001E32AF"/>
    <w:rsid w:val="0020068C"/>
    <w:rsid w:val="00215C2E"/>
    <w:rsid w:val="002760E8"/>
    <w:rsid w:val="00293974"/>
    <w:rsid w:val="002E4C5A"/>
    <w:rsid w:val="00311819"/>
    <w:rsid w:val="003363F8"/>
    <w:rsid w:val="00390C4E"/>
    <w:rsid w:val="003E248B"/>
    <w:rsid w:val="0045421A"/>
    <w:rsid w:val="00476677"/>
    <w:rsid w:val="004C3EB9"/>
    <w:rsid w:val="004E73DF"/>
    <w:rsid w:val="00585CB8"/>
    <w:rsid w:val="005F5CE6"/>
    <w:rsid w:val="00662B66"/>
    <w:rsid w:val="006814F1"/>
    <w:rsid w:val="006A4D44"/>
    <w:rsid w:val="006F2890"/>
    <w:rsid w:val="006F3D5B"/>
    <w:rsid w:val="006F62CA"/>
    <w:rsid w:val="00701114"/>
    <w:rsid w:val="00791F29"/>
    <w:rsid w:val="00806AD8"/>
    <w:rsid w:val="00857D87"/>
    <w:rsid w:val="00864D3F"/>
    <w:rsid w:val="00897914"/>
    <w:rsid w:val="00922FC2"/>
    <w:rsid w:val="0092514B"/>
    <w:rsid w:val="0095558C"/>
    <w:rsid w:val="00987AC1"/>
    <w:rsid w:val="009B31AF"/>
    <w:rsid w:val="009F48D4"/>
    <w:rsid w:val="009F4F21"/>
    <w:rsid w:val="00A05C8A"/>
    <w:rsid w:val="00A310CC"/>
    <w:rsid w:val="00A37738"/>
    <w:rsid w:val="00AA0C49"/>
    <w:rsid w:val="00AE5513"/>
    <w:rsid w:val="00AF6C71"/>
    <w:rsid w:val="00B41985"/>
    <w:rsid w:val="00B500CB"/>
    <w:rsid w:val="00BA0B3F"/>
    <w:rsid w:val="00BA7EB6"/>
    <w:rsid w:val="00BD5532"/>
    <w:rsid w:val="00BF612B"/>
    <w:rsid w:val="00C43ED6"/>
    <w:rsid w:val="00C94917"/>
    <w:rsid w:val="00CB7272"/>
    <w:rsid w:val="00D167DF"/>
    <w:rsid w:val="00D31CBC"/>
    <w:rsid w:val="00D35512"/>
    <w:rsid w:val="00D4554B"/>
    <w:rsid w:val="00D771F7"/>
    <w:rsid w:val="00DC7F20"/>
    <w:rsid w:val="00E05C1B"/>
    <w:rsid w:val="00E074F4"/>
    <w:rsid w:val="00E305F0"/>
    <w:rsid w:val="00E51BE2"/>
    <w:rsid w:val="00EA70CB"/>
    <w:rsid w:val="00F13C5B"/>
    <w:rsid w:val="00F274EC"/>
    <w:rsid w:val="00F62B9B"/>
    <w:rsid w:val="00FA585D"/>
    <w:rsid w:val="00FB0781"/>
    <w:rsid w:val="00FC0869"/>
    <w:rsid w:val="00FE096A"/>
    <w:rsid w:val="00FF052D"/>
    <w:rsid w:val="7FFB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11"/>
    <w:qFormat/>
    <w:uiPriority w:val="9"/>
    <w:pPr>
      <w:spacing w:before="0" w:after="0" w:line="240" w:lineRule="auto"/>
      <w:outlineLvl w:val="0"/>
    </w:pPr>
    <w:rPr>
      <w:rFonts w:eastAsia="黑体"/>
      <w:b w:val="0"/>
      <w:bCs w:val="0"/>
      <w:kern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0"/>
    <w:pPr>
      <w:jc w:val="center"/>
    </w:pPr>
    <w:rPr>
      <w:rFonts w:ascii="Times New Roman" w:hAnsi="Times New Roman" w:eastAsia="宋体" w:cs="Times New Roman"/>
      <w:sz w:val="44"/>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qFormat/>
    <w:uiPriority w:val="9"/>
    <w:rPr>
      <w:rFonts w:eastAsia="黑体" w:asciiTheme="majorHAnsi" w:hAnsiTheme="majorHAnsi" w:cstheme="majorBidi"/>
      <w:kern w:val="44"/>
      <w:sz w:val="32"/>
      <w:szCs w:val="44"/>
    </w:rPr>
  </w:style>
  <w:style w:type="character" w:customStyle="1" w:styleId="12">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正文文本 Char"/>
    <w:basedOn w:val="10"/>
    <w:link w:val="4"/>
    <w:qFormat/>
    <w:uiPriority w:val="0"/>
    <w:rPr>
      <w:rFonts w:ascii="Times New Roman" w:hAnsi="Times New Roman" w:eastAsia="宋体" w:cs="Times New Roman"/>
      <w:sz w:val="44"/>
      <w:szCs w:val="20"/>
    </w:rPr>
  </w:style>
  <w:style w:type="character" w:customStyle="1" w:styleId="16">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1164</Words>
  <Characters>6637</Characters>
  <Lines>55</Lines>
  <Paragraphs>15</Paragraphs>
  <TotalTime>11</TotalTime>
  <ScaleCrop>false</ScaleCrop>
  <LinksUpToDate>false</LinksUpToDate>
  <CharactersWithSpaces>7786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2023-12-19T09:31:00Z</dcterms:created>
  <dc:creator>YJS</dc:creator>
  <cp:lastModifiedBy>kylin</cp:lastModifiedBy>
  <cp:lastPrinted>2021-09-06T16:56:00Z</cp:lastPrinted>
  <dcterms:modified xsi:type="dcterms:W3CDTF">2023-12-20T15:22:32Z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