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天津市人才考评中心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天津市人才考评中心</w:t>
      </w:r>
      <w:r>
        <w:rPr>
          <w:rFonts w:ascii="仿宋_GB2312" w:eastAsia="仿宋_GB2312" w:hint="eastAsia"/>
          <w:sz w:val="30"/>
          <w:szCs w:val="30"/>
        </w:rPr>
        <w:t xml:space="preserve">的主要职责是：</w:t>
      </w:r>
      <w:r>
        <w:rPr>
          <w:rFonts w:ascii="仿宋_GB2312" w:eastAsia="仿宋_GB2312" w:hint="eastAsia"/>
          <w:sz w:val="30"/>
          <w:szCs w:val="30"/>
        </w:rPr>
        <w:t xml:space="preserve">开展人事考试和人才测评服务工作。承担公务员考试命题、考务、阅卷工作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天津市人才考评中心内设7个部门；下辖0个预算单位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天津市人才考评中心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1.天津市人才考评中心部门本级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28,000,000.00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6,876,574.34</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36,614,001.04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210,765.99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35,087,340.33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36,614,001.04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1,662,804.68</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-136,143.97</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-136,143.97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36,614,001.04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36,614,001.04</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35,087,340.33</w:t>
            </w:r>
          </w:p>
        </w:tc>
        <w:tc>
          <w:tcPr>
            <w:tcW w:w="1240" w:type="dxa"/>
            <w:tcBorders/>
            <w:vAlign w:val="center"/>
          </w:tcPr>
          <w:p>
            <w:pPr>
              <w:snapToGrid w:val="0"/>
              <w:jc w:val="right"/>
            </w:pPr>
            <w:r>
              <w:rPr>
                <w:rFonts w:ascii="宋体" w:eastAsia="宋体" w:hAnsi="宋体" w:cs="宋体"/>
                <w:b w:val="0"/>
                <w:i w:val="0"/>
                <w:color w:val="000000"/>
                <w:sz w:val="14"/>
              </w:rPr>
              <w:t xml:space="preserve">28,000,000.00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6,876,574.34</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210,765.99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35,087,340.33</w:t>
            </w:r>
          </w:p>
        </w:tc>
        <w:tc>
          <w:tcPr>
            <w:tcW w:w="1240" w:type="dxa"/>
            <w:tcBorders/>
            <w:vAlign w:val="center"/>
          </w:tcPr>
          <w:p>
            <w:pPr>
              <w:snapToGrid w:val="0"/>
              <w:jc w:val="right"/>
            </w:pPr>
            <w:r>
              <w:rPr>
                <w:rFonts w:ascii="宋体" w:eastAsia="宋体" w:hAnsi="宋体" w:cs="宋体"/>
                <w:b w:val="0"/>
                <w:i w:val="0"/>
                <w:color w:val="000000"/>
                <w:sz w:val="14"/>
              </w:rPr>
              <w:t xml:space="preserve">28,000,000.00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6,876,574.34</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210,765.99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35,087,340.33</w:t>
            </w:r>
          </w:p>
        </w:tc>
        <w:tc>
          <w:tcPr>
            <w:tcW w:w="1240" w:type="dxa"/>
            <w:tcBorders/>
            <w:vAlign w:val="center"/>
          </w:tcPr>
          <w:p>
            <w:pPr>
              <w:snapToGrid w:val="0"/>
              <w:jc w:val="right"/>
            </w:pPr>
            <w:r>
              <w:rPr>
                <w:rFonts w:ascii="宋体" w:eastAsia="宋体" w:hAnsi="宋体" w:cs="宋体"/>
                <w:b w:val="0"/>
                <w:i w:val="0"/>
                <w:color w:val="000000"/>
                <w:sz w:val="14"/>
              </w:rPr>
              <w:t xml:space="preserve">28,000,000.00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6,876,574.34</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210,765.99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2080104</w:t>
            </w:r>
          </w:p>
        </w:tc>
        <w:tc>
          <w:tcPr>
            <w:tcW w:w="2520" w:type="dxa"/>
            <w:tcBorders/>
            <w:vAlign w:val="center"/>
          </w:tcPr>
          <w:p>
            <w:pPr>
              <w:snapToGrid w:val="0"/>
              <w:jc w:val="left"/>
            </w:pPr>
            <w:r>
              <w:rPr>
                <w:rFonts w:ascii="宋体" w:eastAsia="宋体" w:hAnsi="宋体" w:cs="宋体"/>
                <w:b w:val="0"/>
                <w:i w:val="0"/>
                <w:color w:val="000000"/>
                <w:sz w:val="14"/>
              </w:rPr>
              <w:t xml:space="preserve">综合业务管理</w:t>
            </w:r>
          </w:p>
        </w:tc>
        <w:tc>
          <w:tcPr>
            <w:tcW w:w="1240" w:type="dxa"/>
            <w:tcBorders/>
            <w:vAlign w:val="center"/>
          </w:tcPr>
          <w:p>
            <w:pPr>
              <w:snapToGrid w:val="0"/>
              <w:jc w:val="right"/>
            </w:pPr>
            <w:r>
              <w:rPr>
                <w:rFonts w:ascii="宋体" w:eastAsia="宋体" w:hAnsi="宋体" w:cs="宋体"/>
                <w:b w:val="0"/>
                <w:i w:val="0"/>
                <w:color w:val="000000"/>
                <w:sz w:val="14"/>
              </w:rPr>
              <w:t xml:space="preserve">35,087,340.33</w:t>
            </w:r>
          </w:p>
        </w:tc>
        <w:tc>
          <w:tcPr>
            <w:tcW w:w="1240" w:type="dxa"/>
            <w:tcBorders/>
            <w:vAlign w:val="center"/>
          </w:tcPr>
          <w:p>
            <w:pPr>
              <w:snapToGrid w:val="0"/>
              <w:jc w:val="right"/>
            </w:pPr>
            <w:r>
              <w:rPr>
                <w:rFonts w:ascii="宋体" w:eastAsia="宋体" w:hAnsi="宋体" w:cs="宋体"/>
                <w:b w:val="0"/>
                <w:i w:val="0"/>
                <w:color w:val="000000"/>
                <w:sz w:val="14"/>
              </w:rPr>
              <w:t xml:space="preserve">28,000,000.00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6,876,574.34</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210,765.99</w:t>
            </w: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36,614,001.04</w:t>
            </w:r>
          </w:p>
        </w:tc>
        <w:tc>
          <w:tcPr>
            <w:tcW w:w="580" w:type="dxa"/>
            <w:tcBorders/>
            <w:vAlign w:val="center"/>
          </w:tcPr>
          <w:p>
            <w:pPr>
              <w:snapToGrid w:val="0"/>
              <w:jc w:val="right"/>
            </w:pPr>
            <w:r>
              <w:rPr>
                <w:rFonts w:ascii="宋体" w:eastAsia="宋体" w:hAnsi="宋体" w:cs="宋体"/>
                <w:b w:val="0"/>
                <w:i w:val="0"/>
                <w:color w:val="000000"/>
                <w:sz w:val="9"/>
              </w:rPr>
              <w:t xml:space="preserve">35,087,340.33</w:t>
            </w:r>
          </w:p>
        </w:tc>
        <w:tc>
          <w:tcPr>
            <w:tcW w:w="580" w:type="dxa"/>
            <w:tcBorders/>
            <w:vAlign w:val="center"/>
          </w:tcPr>
          <w:p>
            <w:pPr>
              <w:snapToGrid w:val="0"/>
              <w:jc w:val="right"/>
            </w:pPr>
            <w:r>
              <w:rPr>
                <w:rFonts w:ascii="宋体" w:eastAsia="宋体" w:hAnsi="宋体" w:cs="宋体"/>
                <w:b w:val="0"/>
                <w:i w:val="0"/>
                <w:color w:val="000000"/>
                <w:sz w:val="9"/>
              </w:rPr>
              <w:t xml:space="preserve">28,000,000.00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6,876,574.34</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210,765.99</w:t>
            </w:r>
          </w:p>
        </w:tc>
        <w:tc>
          <w:tcPr>
            <w:tcW w:w="580" w:type="dxa"/>
            <w:tcBorders/>
            <w:vAlign w:val="center"/>
          </w:tcPr>
          <w:p>
            <w:pPr>
              <w:snapToGrid w:val="0"/>
              <w:jc w:val="right"/>
            </w:pPr>
            <w:r>
              <w:rPr>
                <w:rFonts w:ascii="宋体" w:eastAsia="宋体" w:hAnsi="宋体" w:cs="宋体"/>
                <w:b w:val="0"/>
                <w:i w:val="0"/>
                <w:color w:val="000000"/>
                <w:sz w:val="9"/>
              </w:rPr>
              <w:t xml:space="preserve">1,526,660.71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1,526,660.71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1,526,660.71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353211</w:t>
            </w:r>
          </w:p>
        </w:tc>
        <w:tc>
          <w:tcPr>
            <w:tcW w:w="1520" w:type="dxa"/>
            <w:tcBorders/>
            <w:vAlign w:val="center"/>
          </w:tcPr>
          <w:p>
            <w:pPr>
              <w:snapToGrid w:val="0"/>
              <w:jc w:val="center"/>
            </w:pPr>
            <w:r>
              <w:rPr>
                <w:rFonts w:ascii="宋体" w:eastAsia="宋体" w:hAnsi="宋体" w:cs="宋体"/>
                <w:b w:val="0"/>
                <w:i w:val="0"/>
                <w:color w:val="000000"/>
                <w:sz w:val="9"/>
              </w:rPr>
              <w:t xml:space="preserve">天津市人才考评中心</w:t>
            </w:r>
          </w:p>
        </w:tc>
        <w:tc>
          <w:tcPr>
            <w:tcW w:w="580" w:type="dxa"/>
            <w:tcBorders/>
            <w:vAlign w:val="center"/>
          </w:tcPr>
          <w:p>
            <w:pPr>
              <w:snapToGrid w:val="0"/>
              <w:jc w:val="right"/>
            </w:pPr>
            <w:r>
              <w:rPr>
                <w:rFonts w:ascii="宋体" w:eastAsia="宋体" w:hAnsi="宋体" w:cs="宋体"/>
                <w:b w:val="0"/>
                <w:i w:val="0"/>
                <w:color w:val="000000"/>
                <w:sz w:val="9"/>
              </w:rPr>
              <w:t xml:space="preserve">36,614,001.04</w:t>
            </w:r>
          </w:p>
        </w:tc>
        <w:tc>
          <w:tcPr>
            <w:tcW w:w="580" w:type="dxa"/>
            <w:tcBorders/>
            <w:vAlign w:val="center"/>
          </w:tcPr>
          <w:p>
            <w:pPr>
              <w:snapToGrid w:val="0"/>
              <w:jc w:val="right"/>
            </w:pPr>
            <w:r>
              <w:rPr>
                <w:rFonts w:ascii="宋体" w:eastAsia="宋体" w:hAnsi="宋体" w:cs="宋体"/>
                <w:b w:val="0"/>
                <w:i w:val="0"/>
                <w:color w:val="000000"/>
                <w:sz w:val="9"/>
              </w:rPr>
              <w:t xml:space="preserve">35,087,340.33</w:t>
            </w:r>
          </w:p>
        </w:tc>
        <w:tc>
          <w:tcPr>
            <w:tcW w:w="580" w:type="dxa"/>
            <w:tcBorders/>
            <w:vAlign w:val="center"/>
          </w:tcPr>
          <w:p>
            <w:pPr>
              <w:snapToGrid w:val="0"/>
              <w:jc w:val="right"/>
            </w:pPr>
            <w:r>
              <w:rPr>
                <w:rFonts w:ascii="宋体" w:eastAsia="宋体" w:hAnsi="宋体" w:cs="宋体"/>
                <w:b w:val="0"/>
                <w:i w:val="0"/>
                <w:color w:val="000000"/>
                <w:sz w:val="9"/>
              </w:rPr>
              <w:t xml:space="preserve">28,000,000.00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6,876,574.34</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210,765.99</w:t>
            </w:r>
          </w:p>
        </w:tc>
        <w:tc>
          <w:tcPr>
            <w:tcW w:w="580" w:type="dxa"/>
            <w:tcBorders/>
            <w:vAlign w:val="center"/>
          </w:tcPr>
          <w:p>
            <w:pPr>
              <w:snapToGrid w:val="0"/>
              <w:jc w:val="right"/>
            </w:pPr>
            <w:r>
              <w:rPr>
                <w:rFonts w:ascii="宋体" w:eastAsia="宋体" w:hAnsi="宋体" w:cs="宋体"/>
                <w:b w:val="0"/>
                <w:i w:val="0"/>
                <w:color w:val="000000"/>
                <w:sz w:val="9"/>
              </w:rPr>
              <w:t xml:space="preserve">1,526,660.71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1,526,660.71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1,526,660.71</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36,614,001.04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29,873,570.67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6,740,430.37</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36,614,001.04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29,873,570.67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6,740,430.37</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36,614,001.04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29,873,570.67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6,740,430.37</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2080104</w:t>
            </w:r>
          </w:p>
        </w:tc>
        <w:tc>
          <w:tcPr>
            <w:tcW w:w="4400" w:type="dxa"/>
            <w:tcBorders/>
            <w:vAlign w:val="center"/>
          </w:tcPr>
          <w:p>
            <w:pPr>
              <w:snapToGrid w:val="0"/>
              <w:jc w:val="left"/>
            </w:pPr>
            <w:r>
              <w:rPr>
                <w:rFonts w:ascii="宋体" w:eastAsia="宋体" w:hAnsi="宋体" w:cs="宋体"/>
                <w:b w:val="0"/>
                <w:i w:val="0"/>
                <w:color w:val="000000"/>
                <w:sz w:val="15"/>
              </w:rPr>
              <w:t xml:space="preserve">综合业务管理</w:t>
            </w:r>
          </w:p>
        </w:tc>
        <w:tc>
          <w:tcPr>
            <w:tcW w:w="1320" w:type="dxa"/>
            <w:tcBorders/>
            <w:vAlign w:val="center"/>
          </w:tcPr>
          <w:p>
            <w:pPr>
              <w:snapToGrid w:val="0"/>
              <w:jc w:val="right"/>
            </w:pPr>
            <w:r>
              <w:rPr>
                <w:rFonts w:ascii="宋体" w:eastAsia="宋体" w:hAnsi="宋体" w:cs="宋体"/>
                <w:b w:val="0"/>
                <w:i w:val="0"/>
                <w:color w:val="000000"/>
                <w:sz w:val="15"/>
              </w:rPr>
              <w:t xml:space="preserve">36,614,001.04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29,873,570.67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6,740,430.37</w:t>
            </w: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1420" w:type="dxa"/>
            <w:tcBorders/>
            <w:vAlign w:val="center"/>
          </w:tcPr>
          <w:p>
            <w:pPr>
              <w:snapToGrid w:val="0"/>
              <w:jc w:val="right"/>
            </w:pPr>
            <w:r>
              <w:rPr>
                <w:rFonts w:ascii="宋体" w:eastAsia="宋体" w:hAnsi="宋体" w:cs="宋体"/>
                <w:b w:val="0"/>
                <w:i w:val="0"/>
                <w:color w:val="000000"/>
                <w:sz w:val="16"/>
              </w:rPr>
              <w:t xml:space="preserve">28,000,000.00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28,000,000.00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28,000,000.00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28,000,000.00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2080104</w:t>
            </w:r>
          </w:p>
        </w:tc>
        <w:tc>
          <w:tcPr>
            <w:tcW w:w="3480" w:type="dxa"/>
            <w:tcBorders/>
            <w:vAlign w:val="center"/>
          </w:tcPr>
          <w:p>
            <w:pPr>
              <w:snapToGrid w:val="0"/>
              <w:jc w:val="left"/>
            </w:pPr>
            <w:r>
              <w:rPr>
                <w:rFonts w:ascii="宋体" w:eastAsia="宋体" w:hAnsi="宋体" w:cs="宋体"/>
                <w:b w:val="0"/>
                <w:i w:val="0"/>
                <w:color w:val="000000"/>
                <w:sz w:val="20"/>
              </w:rPr>
              <w:t xml:space="preserve">综合业务管理</w:t>
            </w:r>
          </w:p>
        </w:tc>
        <w:tc>
          <w:tcPr>
            <w:tcW w:w="1720" w:type="dxa"/>
            <w:tcBorders/>
            <w:vAlign w:val="center"/>
          </w:tcPr>
          <w:p>
            <w:pPr>
              <w:snapToGrid w:val="0"/>
              <w:jc w:val="right"/>
            </w:pPr>
            <w:r>
              <w:rPr>
                <w:rFonts w:ascii="宋体" w:eastAsia="宋体" w:hAnsi="宋体" w:cs="宋体"/>
                <w:b w:val="0"/>
                <w:i w:val="0"/>
                <w:color w:val="000000"/>
                <w:sz w:val="20"/>
              </w:rPr>
              <w:t xml:space="preserve">28,000,000.00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28,000,000.00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天津市人才考评中心2024年度一般公共预算财政拨款基本支出决算表为空表。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天津市人才考评中心2024年度政府性基金预算财政拨款收入支出决算表为空表。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天津市人才考评中心2024年国有资本经营预算财政拨款收入支出决算表为空表。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82,000.00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82,000.00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82,000.00</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单位：天津市人才考评中心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29,873,570.67</w:t>
            </w:r>
          </w:p>
        </w:tc>
        <w:tc>
          <w:tcPr>
            <w:tcW w:w="1340" w:type="dxa"/>
            <w:tcBorders/>
            <w:vAlign w:val="center"/>
          </w:tcPr>
          <w:p>
            <w:pPr>
              <w:snapToGrid w:val="0"/>
              <w:jc w:val="right"/>
            </w:pPr>
            <w:r>
              <w:rPr>
                <w:rFonts w:ascii="宋体" w:eastAsia="宋体" w:hAnsi="宋体" w:cs="宋体"/>
                <w:b w:val="0"/>
                <w:i w:val="0"/>
                <w:color w:val="000000"/>
                <w:sz w:val="16"/>
              </w:rPr>
              <w:t xml:space="preserve">28,000,000.00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1,873,570.67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29,873,570.67</w:t>
            </w:r>
          </w:p>
        </w:tc>
        <w:tc>
          <w:tcPr>
            <w:tcW w:w="1340" w:type="dxa"/>
            <w:tcBorders/>
            <w:vAlign w:val="center"/>
          </w:tcPr>
          <w:p>
            <w:pPr>
              <w:snapToGrid w:val="0"/>
              <w:jc w:val="right"/>
            </w:pPr>
            <w:r>
              <w:rPr>
                <w:rFonts w:ascii="宋体" w:eastAsia="宋体" w:hAnsi="宋体" w:cs="宋体"/>
                <w:b w:val="0"/>
                <w:i w:val="0"/>
                <w:color w:val="000000"/>
                <w:sz w:val="16"/>
              </w:rPr>
              <w:t xml:space="preserve">28,000,000.00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1,873,570.67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29,873,570.67</w:t>
            </w:r>
          </w:p>
        </w:tc>
        <w:tc>
          <w:tcPr>
            <w:tcW w:w="1340" w:type="dxa"/>
            <w:tcBorders/>
            <w:vAlign w:val="center"/>
          </w:tcPr>
          <w:p>
            <w:pPr>
              <w:snapToGrid w:val="0"/>
              <w:jc w:val="right"/>
            </w:pPr>
            <w:r>
              <w:rPr>
                <w:rFonts w:ascii="宋体" w:eastAsia="宋体" w:hAnsi="宋体" w:cs="宋体"/>
                <w:b w:val="0"/>
                <w:i w:val="0"/>
                <w:color w:val="000000"/>
                <w:sz w:val="16"/>
              </w:rPr>
              <w:t xml:space="preserve">28,000,000.00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1,873,570.67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2080104</w:t>
            </w:r>
          </w:p>
        </w:tc>
        <w:tc>
          <w:tcPr>
            <w:tcW w:w="4560" w:type="dxa"/>
            <w:tcBorders/>
            <w:vAlign w:val="center"/>
          </w:tcPr>
          <w:p>
            <w:pPr>
              <w:snapToGrid w:val="0"/>
              <w:jc w:val="left"/>
            </w:pPr>
            <w:r>
              <w:rPr>
                <w:rFonts w:ascii="宋体" w:eastAsia="宋体" w:hAnsi="宋体" w:cs="宋体"/>
                <w:b w:val="0"/>
                <w:i w:val="0"/>
                <w:color w:val="000000"/>
                <w:sz w:val="16"/>
              </w:rPr>
              <w:t xml:space="preserve">综合业务管理</w:t>
            </w:r>
          </w:p>
        </w:tc>
        <w:tc>
          <w:tcPr>
            <w:tcW w:w="1240" w:type="dxa"/>
            <w:tcBorders/>
            <w:vAlign w:val="center"/>
          </w:tcPr>
          <w:p>
            <w:pPr>
              <w:snapToGrid w:val="0"/>
              <w:jc w:val="right"/>
            </w:pPr>
            <w:r>
              <w:rPr>
                <w:rFonts w:ascii="宋体" w:eastAsia="宋体" w:hAnsi="宋体" w:cs="宋体"/>
                <w:b w:val="0"/>
                <w:i w:val="0"/>
                <w:color w:val="000000"/>
                <w:sz w:val="16"/>
              </w:rPr>
              <w:t xml:space="preserve">29,873,570.67</w:t>
            </w:r>
          </w:p>
        </w:tc>
        <w:tc>
          <w:tcPr>
            <w:tcW w:w="1340" w:type="dxa"/>
            <w:tcBorders/>
            <w:vAlign w:val="center"/>
          </w:tcPr>
          <w:p>
            <w:pPr>
              <w:snapToGrid w:val="0"/>
              <w:jc w:val="right"/>
            </w:pPr>
            <w:r>
              <w:rPr>
                <w:rFonts w:ascii="宋体" w:eastAsia="宋体" w:hAnsi="宋体" w:cs="宋体"/>
                <w:b w:val="0"/>
                <w:i w:val="0"/>
                <w:color w:val="000000"/>
                <w:sz w:val="16"/>
              </w:rPr>
              <w:t xml:space="preserve">28,000,000.00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1,873,570.67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2080104</w:t>
            </w:r>
          </w:p>
        </w:tc>
        <w:tc>
          <w:tcPr>
            <w:tcW w:w="4560" w:type="dxa"/>
            <w:tcBorders/>
            <w:vAlign w:val="center"/>
          </w:tcPr>
          <w:p>
            <w:pPr>
              <w:snapToGrid w:val="0"/>
              <w:jc w:val="left"/>
            </w:pPr>
            <w:r>
              <w:rPr>
                <w:rFonts w:ascii="宋体" w:eastAsia="宋体" w:hAnsi="宋体" w:cs="宋体"/>
                <w:b w:val="0"/>
                <w:i w:val="0"/>
                <w:color w:val="000000"/>
                <w:sz w:val="16"/>
              </w:rPr>
              <w:t xml:space="preserve">人事考试工作</w:t>
            </w:r>
          </w:p>
        </w:tc>
        <w:tc>
          <w:tcPr>
            <w:tcW w:w="1240" w:type="dxa"/>
            <w:tcBorders/>
            <w:vAlign w:val="center"/>
          </w:tcPr>
          <w:p>
            <w:pPr>
              <w:snapToGrid w:val="0"/>
              <w:jc w:val="right"/>
            </w:pPr>
            <w:r>
              <w:rPr>
                <w:rFonts w:ascii="宋体" w:eastAsia="宋体" w:hAnsi="宋体" w:cs="宋体"/>
                <w:b w:val="0"/>
                <w:i w:val="0"/>
                <w:color w:val="000000"/>
                <w:sz w:val="16"/>
              </w:rPr>
              <w:t xml:space="preserve">28,000,000.00</w:t>
            </w:r>
          </w:p>
        </w:tc>
        <w:tc>
          <w:tcPr>
            <w:tcW w:w="1340" w:type="dxa"/>
            <w:tcBorders/>
            <w:vAlign w:val="center"/>
          </w:tcPr>
          <w:p>
            <w:pPr>
              <w:snapToGrid w:val="0"/>
              <w:jc w:val="right"/>
            </w:pPr>
            <w:r>
              <w:rPr>
                <w:rFonts w:ascii="宋体" w:eastAsia="宋体" w:hAnsi="宋体" w:cs="宋体"/>
                <w:b w:val="0"/>
                <w:i w:val="0"/>
                <w:color w:val="000000"/>
                <w:sz w:val="16"/>
              </w:rPr>
              <w:t xml:space="preserve">28,000,000.00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2080104</w:t>
            </w:r>
          </w:p>
        </w:tc>
        <w:tc>
          <w:tcPr>
            <w:tcW w:w="4560" w:type="dxa"/>
            <w:tcBorders/>
            <w:vAlign w:val="center"/>
          </w:tcPr>
          <w:p>
            <w:pPr>
              <w:snapToGrid w:val="0"/>
              <w:jc w:val="left"/>
            </w:pPr>
            <w:r>
              <w:rPr>
                <w:rFonts w:ascii="宋体" w:eastAsia="宋体" w:hAnsi="宋体" w:cs="宋体"/>
                <w:b w:val="0"/>
                <w:i w:val="0"/>
                <w:color w:val="000000"/>
                <w:sz w:val="16"/>
              </w:rPr>
              <w:t xml:space="preserve">人才考评中心非财政拨款（其他收入）</w:t>
            </w:r>
          </w:p>
        </w:tc>
        <w:tc>
          <w:tcPr>
            <w:tcW w:w="1240" w:type="dxa"/>
            <w:tcBorders/>
            <w:vAlign w:val="center"/>
          </w:tcPr>
          <w:p>
            <w:pPr>
              <w:snapToGrid w:val="0"/>
              <w:jc w:val="right"/>
            </w:pPr>
            <w:r>
              <w:rPr>
                <w:rFonts w:ascii="宋体" w:eastAsia="宋体" w:hAnsi="宋体" w:cs="宋体"/>
                <w:b w:val="0"/>
                <w:i w:val="0"/>
                <w:color w:val="000000"/>
                <w:sz w:val="16"/>
              </w:rPr>
              <w:t xml:space="preserve">210,765.99</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210,765.99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2080104</w:t>
            </w:r>
          </w:p>
        </w:tc>
        <w:tc>
          <w:tcPr>
            <w:tcW w:w="4560" w:type="dxa"/>
            <w:tcBorders/>
            <w:vAlign w:val="center"/>
          </w:tcPr>
          <w:p>
            <w:pPr>
              <w:snapToGrid w:val="0"/>
              <w:jc w:val="left"/>
            </w:pPr>
            <w:r>
              <w:rPr>
                <w:rFonts w:ascii="宋体" w:eastAsia="宋体" w:hAnsi="宋体" w:cs="宋体"/>
                <w:b w:val="0"/>
                <w:i w:val="0"/>
                <w:color w:val="000000"/>
                <w:sz w:val="16"/>
              </w:rPr>
              <w:t xml:space="preserve">人才考评中心非财政拨款（经营收入）</w:t>
            </w:r>
          </w:p>
        </w:tc>
        <w:tc>
          <w:tcPr>
            <w:tcW w:w="1240" w:type="dxa"/>
            <w:tcBorders/>
            <w:vAlign w:val="center"/>
          </w:tcPr>
          <w:p>
            <w:pPr>
              <w:snapToGrid w:val="0"/>
              <w:jc w:val="right"/>
            </w:pPr>
            <w:r>
              <w:rPr>
                <w:rFonts w:ascii="宋体" w:eastAsia="宋体" w:hAnsi="宋体" w:cs="宋体"/>
                <w:b w:val="0"/>
                <w:i w:val="0"/>
                <w:color w:val="000000"/>
                <w:sz w:val="16"/>
              </w:rPr>
              <w:t xml:space="preserve">1,662,804.68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1,662,804.68</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天津市人才考评中心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36,614,001.04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减少17,482,367.03元，下降32.317%</w:t>
      </w:r>
      <w:r>
        <w:rPr>
          <w:rFonts w:eastAsia="仿宋_GB2312" w:hint="eastAsia"/>
          <w:sz w:val="30"/>
          <w:szCs w:val="30"/>
        </w:rPr>
        <w:t xml:space="preserve">，主要原因是</w:t>
      </w:r>
      <w:r>
        <w:rPr>
          <w:rFonts w:eastAsia="仿宋_GB2312" w:hint="eastAsia"/>
          <w:sz w:val="30"/>
          <w:szCs w:val="30"/>
        </w:rPr>
        <w:t xml:space="preserve">编报口径调整，年末结转和结余不包括非财政拨款结余和专用结余；人事考试工作项目预算收入减少，经营收入减少 ；压缩各项支出，人事考试工作项目支出减少，经营支出减少，非财政拨款项目支出减少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一般公共预算财政拨款收入28,000,000.00元、事业单位经营收入6,876,574.34元、其他收入210,765.99元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社会保障和就业支出36,614,001.04元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天津市人才考评中心</w:t>
      </w:r>
      <w:r>
        <w:rPr>
          <w:rFonts w:eastAsia="仿宋_GB2312" w:hint="eastAsia"/>
          <w:sz w:val="30"/>
          <w:szCs w:val="30"/>
        </w:rPr>
        <w:t xml:space="preserve">2024年度本年收入合计</w:t>
      </w:r>
      <w:r>
        <w:rPr>
          <w:rFonts w:eastAsia="仿宋_GB2312" w:hint="eastAsia"/>
          <w:sz w:val="30"/>
          <w:szCs w:val="30"/>
        </w:rPr>
        <w:t xml:space="preserve">35,087,340.33</w:t>
      </w:r>
      <w:r>
        <w:rPr>
          <w:rFonts w:eastAsia="仿宋_GB2312" w:hint="eastAsia"/>
          <w:sz w:val="30"/>
          <w:szCs w:val="30"/>
        </w:rPr>
        <w:t xml:space="preserve">元，与2023年度相比</w:t>
      </w:r>
      <w:r>
        <w:rPr>
          <w:rFonts w:eastAsia="仿宋_GB2312" w:hint="eastAsia"/>
          <w:sz w:val="30"/>
          <w:szCs w:val="30"/>
        </w:rPr>
        <w:t xml:space="preserve">减少3,962,205.91元，</w:t>
      </w:r>
      <w:r>
        <w:rPr>
          <w:rFonts w:eastAsia="仿宋_GB2312" w:hint="eastAsia"/>
          <w:sz w:val="30"/>
          <w:szCs w:val="30"/>
        </w:rPr>
        <w:t xml:space="preserve">主要原因是</w:t>
      </w:r>
      <w:r>
        <w:rPr>
          <w:rFonts w:eastAsia="仿宋_GB2312" w:hint="eastAsia"/>
          <w:sz w:val="30"/>
          <w:szCs w:val="30"/>
        </w:rPr>
        <w:t xml:space="preserve">人事考试工作项目预算收入减少，经营收入减少 </w:t>
      </w:r>
      <w:r>
        <w:rPr>
          <w:rFonts w:eastAsia="仿宋_GB2312" w:hint="eastAsia"/>
          <w:sz w:val="30"/>
          <w:szCs w:val="30"/>
        </w:rPr>
        <w:t xml:space="preserve">。其中：</w:t>
      </w:r>
      <w:r>
        <w:rPr>
          <w:rFonts w:eastAsia="仿宋_GB2312" w:hint="eastAsia"/>
          <w:sz w:val="30"/>
          <w:szCs w:val="30"/>
        </w:rPr>
        <w:t xml:space="preserve">一般公共预算财政拨款收入28,000,000.00元，占79.801%；事业单位经营收入6,876,574.34元，占19.598%；其他收入210,765.99元，占0.601%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天津市人才考评中心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36,614,001.04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减少6,335,735.90元，</w:t>
      </w:r>
      <w:r>
        <w:rPr>
          <w:rFonts w:eastAsia="仿宋_GB2312" w:hint="eastAsia"/>
          <w:sz w:val="30"/>
          <w:szCs w:val="30"/>
        </w:rPr>
        <w:t xml:space="preserve">主要原因是</w:t>
      </w:r>
      <w:r>
        <w:rPr>
          <w:rFonts w:eastAsia="仿宋_GB2312" w:hint="eastAsia"/>
          <w:sz w:val="30"/>
          <w:szCs w:val="30"/>
        </w:rPr>
        <w:t xml:space="preserve">压缩各项支出，人事考试工作项目支出减少，经营支出减少，非财政拨款项目支出减少</w:t>
      </w:r>
      <w:r>
        <w:rPr>
          <w:rFonts w:eastAsia="仿宋_GB2312" w:hint="eastAsia"/>
          <w:sz w:val="30"/>
          <w:szCs w:val="30"/>
        </w:rPr>
        <w:t xml:space="preserve">。其中：</w:t>
      </w:r>
      <w:r>
        <w:rPr>
          <w:rFonts w:eastAsia="仿宋_GB2312" w:hint="eastAsia"/>
          <w:sz w:val="30"/>
          <w:szCs w:val="30"/>
        </w:rPr>
        <w:t xml:space="preserve">项目支出29,873,570.67元，占81.591%；经营支出6,740,430.37元，占18.409%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天津市人才考评中心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28,000,000.00</w:t>
      </w:r>
      <w:r>
        <w:rPr>
          <w:rFonts w:eastAsia="仿宋_GB2312" w:hint="eastAsia"/>
          <w:sz w:val="30"/>
          <w:szCs w:val="30"/>
        </w:rPr>
        <w:t xml:space="preserve">元。与2023年度相比，财政拨款收、支总计各</w:t>
      </w:r>
      <w:r>
        <w:rPr>
          <w:rFonts w:eastAsia="仿宋_GB2312" w:hint="eastAsia"/>
          <w:sz w:val="30"/>
          <w:szCs w:val="30"/>
        </w:rPr>
        <w:t xml:space="preserve">减少3,500,000.00元，下降11.111%，</w:t>
      </w:r>
      <w:r>
        <w:rPr>
          <w:rFonts w:eastAsia="仿宋_GB2312" w:hint="eastAsia"/>
          <w:sz w:val="30"/>
          <w:szCs w:val="30"/>
        </w:rPr>
        <w:t xml:space="preserve">主要原因是</w:t>
      </w:r>
      <w:r>
        <w:rPr>
          <w:rFonts w:eastAsia="仿宋_GB2312" w:hint="eastAsia"/>
          <w:sz w:val="30"/>
          <w:szCs w:val="30"/>
        </w:rPr>
        <w:t xml:space="preserve">人事考试工作项目收入支出减少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一般公共预算财政拨款28,000,000.00元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社会保障和就业支出28,000,000.00元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天津市人才考评中心2024年度部门决算一般公共预算财政拨款支出合计28,000,000.00元，占本年支出合计的76.473%。与2023年度相比，一般公共预算财政拨款支出</w:t>
      </w:r>
      <w:r>
        <w:rPr>
          <w:rFonts w:eastAsia="仿宋_GB2312" w:hint="eastAsia"/>
          <w:sz w:val="30"/>
          <w:szCs w:val="30"/>
        </w:rPr>
        <w:t xml:space="preserve">减少3,500,000.00元</w:t>
      </w:r>
      <w:r>
        <w:rPr>
          <w:rFonts w:eastAsia="仿宋_GB2312" w:hint="eastAsia"/>
          <w:sz w:val="30"/>
          <w:szCs w:val="30"/>
        </w:rPr>
        <w:t xml:space="preserve">，下降11.111%</w:t>
      </w:r>
      <w:r>
        <w:rPr>
          <w:rFonts w:eastAsia="仿宋_GB2312" w:hint="eastAsia"/>
          <w:sz w:val="30"/>
          <w:szCs w:val="30"/>
        </w:rPr>
        <w:t xml:space="preserve">，主要原因是人事考试工作项目支出减少。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2024年度一般公共预算财政拨款支出28,000,000.00元，主要用于以下方面：</w:t>
      </w:r>
      <w:r>
        <w:rPr>
          <w:rFonts w:eastAsia="仿宋_GB2312" w:hint="eastAsia"/>
          <w:sz w:val="30"/>
          <w:szCs w:val="30"/>
        </w:rPr>
        <w:t xml:space="preserve">社会保障和就业支出（类）支出28,000,000.00元，占100.000%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2024年度一般公共预算财政拨款支出年初预算为0.00元，支出决算为28,000,000.00元</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1.社会保障和就业支出（类）人力资源和社会保障管理事务（款）综合业务管理（项）年初预算为0.00元，支出决算为28,000,000.00元，决算数大于预算数的主要原因是：年初财政拨款项目预算在主管局申报。</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天津市人才考评中心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按照经费保障模式，各项支出在项目中核算</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天津市人才考评中心2024年度无政府性基金预算财政拨款收入、支出和结转结余。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天津市人才考评中心2024年度无国有资本经营预算财政拨款收入、支出和结转结余。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82,000.00</w:t>
      </w:r>
      <w:r>
        <w:rPr>
          <w:rFonts w:eastAsia="仿宋_GB2312" w:hint="eastAsia"/>
          <w:sz w:val="30"/>
          <w:szCs w:val="30"/>
        </w:rPr>
        <w:t xml:space="preserve">元，支出决算</w:t>
      </w:r>
      <w:r>
        <w:rPr>
          <w:rFonts w:eastAsia="仿宋_GB2312" w:hint="eastAsia"/>
          <w:sz w:val="30"/>
          <w:szCs w:val="30"/>
        </w:rPr>
        <w:t xml:space="preserve">82,000.00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支出决算较上年减少34,230.60元</w:t>
      </w:r>
      <w:r>
        <w:rPr>
          <w:rFonts w:eastAsia="仿宋_GB2312" w:hint="eastAsia"/>
          <w:sz w:val="30"/>
          <w:szCs w:val="30"/>
        </w:rPr>
        <w:t xml:space="preserve">，下降29.451%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决算数较上年减少的主要原因是厉行节约，压实经费支出。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决算数较上年持平的主要原因是两年度均未用财政拨款经费列支因公出国（境）费。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82,000.00</w:t>
      </w:r>
      <w:r>
        <w:rPr>
          <w:rFonts w:eastAsia="仿宋_GB2312" w:hint="eastAsia"/>
          <w:sz w:val="30"/>
          <w:szCs w:val="30"/>
        </w:rPr>
        <w:t xml:space="preserve">元，支出决算</w:t>
      </w:r>
      <w:r>
        <w:rPr>
          <w:rFonts w:eastAsia="仿宋_GB2312" w:hint="eastAsia"/>
          <w:sz w:val="30"/>
          <w:szCs w:val="30"/>
        </w:rPr>
        <w:t xml:space="preserve">82,000.00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支出决算较上年减少34,230.60元</w:t>
      </w:r>
      <w:r>
        <w:rPr>
          <w:rFonts w:eastAsia="仿宋_GB2312" w:hint="eastAsia"/>
          <w:sz w:val="30"/>
          <w:szCs w:val="30"/>
        </w:rPr>
        <w:t xml:space="preserve">，下降29.451%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决算数较上年减少的主要原因是厉行节约，压实经费支出。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82,000.00</w:t>
      </w:r>
      <w:r>
        <w:rPr>
          <w:rFonts w:eastAsia="仿宋_GB2312" w:hint="eastAsia"/>
          <w:sz w:val="30"/>
          <w:szCs w:val="30"/>
        </w:rPr>
        <w:t xml:space="preserve">元，支出决算</w:t>
      </w:r>
      <w:r>
        <w:rPr>
          <w:rFonts w:eastAsia="仿宋_GB2312" w:hint="eastAsia"/>
          <w:sz w:val="30"/>
          <w:szCs w:val="30"/>
        </w:rPr>
        <w:t xml:space="preserve">82,000.00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支出决算较上年减少34,230.60元</w:t>
      </w:r>
      <w:r>
        <w:rPr>
          <w:rFonts w:eastAsia="仿宋_GB2312" w:hint="eastAsia"/>
          <w:sz w:val="30"/>
          <w:szCs w:val="30"/>
        </w:rPr>
        <w:t xml:space="preserve">，下降29.451%</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决算数较上年减少的主要原因是厉行节约，压实经费支出。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决算数较上年持平的主要原因是两年度均未用财政拨款经费列支公务用车购置费。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决算数较上年持平的主要原因是两年度均未用财政拨款经费列支公务接待费。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天津市人才考评中心2024年度无机关运行经费。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天津市人才考评中心2024年度无政府采购支出。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截至2024年12月31日，天津市人才考评中心共有车辆3辆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，其他用车主要包括考试业务用车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根据预算绩效管理要求，天津市人才考评中心已对3个2024年度市级项目开展绩效自评，涉及金额46,310,000.00元，自评结果已随部门决算一并公开。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天津市人才考评中心不属于乡、镇、街级单位，不涉及公开2024年度教育、医疗卫生、社会保障和就业、住房保障、涉农补贴等民生支出情况。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