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天津市社会保险基金管理中心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天津市社会保险基金管理中心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承担本市社会保险经办管理服务工作；制定社会保险经办管理规定并组织实施；承担职业年金经办工作；承担社会保障卡的信息维护及制卡管理工作；承担本市职工劳动能力鉴定经办管理工作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天津市社会保险基金管理中心机关内设17个职能处室；下辖1个预算单位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天津市社会保险基金管理中心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天津市社会保险基金管理中心机关和22个分支机构，包括21个分中心和天津市劳动保障服务指导中心（天津市劳动能力鉴定中心）。</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单位：天津市社会保险基金管理中心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339,784,743.54</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324,936,019.34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14,848,724.20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1,917.31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339,786,660.85</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339,784,743.54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1,917.31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339,786,660.85</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339,786,660.85</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单位：天津市社会保险基金管理中心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339,786,660.85</w:t>
            </w:r>
          </w:p>
        </w:tc>
        <w:tc>
          <w:tcPr>
            <w:tcW w:w="1240" w:type="dxa"/>
            <w:tcBorders/>
            <w:vAlign w:val="center"/>
          </w:tcPr>
          <w:p>
            <w:pPr>
              <w:snapToGrid w:val="0"/>
              <w:jc w:val="right"/>
            </w:pPr>
            <w:r>
              <w:rPr>
                <w:rFonts w:ascii="宋体" w:eastAsia="宋体" w:hAnsi="宋体" w:cs="宋体"/>
                <w:b w:val="0"/>
                <w:i w:val="0"/>
                <w:color w:val="000000"/>
                <w:sz w:val="14"/>
              </w:rPr>
              <w:t xml:space="preserve">339,784,743.54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1,917.31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324,937,936.65</w:t>
            </w:r>
          </w:p>
        </w:tc>
        <w:tc>
          <w:tcPr>
            <w:tcW w:w="1240" w:type="dxa"/>
            <w:tcBorders/>
            <w:vAlign w:val="center"/>
          </w:tcPr>
          <w:p>
            <w:pPr>
              <w:snapToGrid w:val="0"/>
              <w:jc w:val="right"/>
            </w:pPr>
            <w:r>
              <w:rPr>
                <w:rFonts w:ascii="宋体" w:eastAsia="宋体" w:hAnsi="宋体" w:cs="宋体"/>
                <w:b w:val="0"/>
                <w:i w:val="0"/>
                <w:color w:val="000000"/>
                <w:sz w:val="14"/>
              </w:rPr>
              <w:t xml:space="preserve">324,936,019.34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1,917.31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w:t>
            </w:r>
          </w:p>
        </w:tc>
        <w:tc>
          <w:tcPr>
            <w:tcW w:w="2520" w:type="dxa"/>
            <w:tcBorders/>
            <w:vAlign w:val="center"/>
          </w:tcPr>
          <w:p>
            <w:pPr>
              <w:snapToGrid w:val="0"/>
              <w:jc w:val="left"/>
            </w:pPr>
            <w:r>
              <w:rPr>
                <w:rFonts w:ascii="宋体" w:eastAsia="宋体" w:hAnsi="宋体" w:cs="宋体"/>
                <w:b w:val="0"/>
                <w:i w:val="0"/>
                <w:color w:val="000000"/>
                <w:sz w:val="14"/>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4"/>
              </w:rPr>
              <w:t xml:space="preserve">291,814,980.45</w:t>
            </w:r>
          </w:p>
        </w:tc>
        <w:tc>
          <w:tcPr>
            <w:tcW w:w="1240" w:type="dxa"/>
            <w:tcBorders/>
            <w:vAlign w:val="center"/>
          </w:tcPr>
          <w:p>
            <w:pPr>
              <w:snapToGrid w:val="0"/>
              <w:jc w:val="right"/>
            </w:pPr>
            <w:r>
              <w:rPr>
                <w:rFonts w:ascii="宋体" w:eastAsia="宋体" w:hAnsi="宋体" w:cs="宋体"/>
                <w:b w:val="0"/>
                <w:i w:val="0"/>
                <w:color w:val="000000"/>
                <w:sz w:val="14"/>
              </w:rPr>
              <w:t xml:space="preserve">291,813,063.14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1,917.31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260,310,099.21</w:t>
            </w:r>
          </w:p>
        </w:tc>
        <w:tc>
          <w:tcPr>
            <w:tcW w:w="1240" w:type="dxa"/>
            <w:tcBorders/>
            <w:vAlign w:val="center"/>
          </w:tcPr>
          <w:p>
            <w:pPr>
              <w:snapToGrid w:val="0"/>
              <w:jc w:val="right"/>
            </w:pPr>
            <w:r>
              <w:rPr>
                <w:rFonts w:ascii="宋体" w:eastAsia="宋体" w:hAnsi="宋体" w:cs="宋体"/>
                <w:b w:val="0"/>
                <w:i w:val="0"/>
                <w:color w:val="000000"/>
                <w:sz w:val="14"/>
              </w:rPr>
              <w:t xml:space="preserve">260,308,181.90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1,917.31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2080109</w:t>
            </w:r>
          </w:p>
        </w:tc>
        <w:tc>
          <w:tcPr>
            <w:tcW w:w="2520" w:type="dxa"/>
            <w:tcBorders/>
            <w:vAlign w:val="center"/>
          </w:tcPr>
          <w:p>
            <w:pPr>
              <w:snapToGrid w:val="0"/>
              <w:jc w:val="left"/>
            </w:pPr>
            <w:r>
              <w:rPr>
                <w:rFonts w:ascii="宋体" w:eastAsia="宋体" w:hAnsi="宋体" w:cs="宋体"/>
                <w:b w:val="0"/>
                <w:i w:val="0"/>
                <w:color w:val="000000"/>
                <w:sz w:val="14"/>
              </w:rPr>
              <w:t xml:space="preserve">社会保险经办机构</w:t>
            </w:r>
          </w:p>
        </w:tc>
        <w:tc>
          <w:tcPr>
            <w:tcW w:w="1240" w:type="dxa"/>
            <w:tcBorders/>
            <w:vAlign w:val="center"/>
          </w:tcPr>
          <w:p>
            <w:pPr>
              <w:snapToGrid w:val="0"/>
              <w:jc w:val="right"/>
            </w:pPr>
            <w:r>
              <w:rPr>
                <w:rFonts w:ascii="宋体" w:eastAsia="宋体" w:hAnsi="宋体" w:cs="宋体"/>
                <w:b w:val="0"/>
                <w:i w:val="0"/>
                <w:color w:val="000000"/>
                <w:sz w:val="14"/>
              </w:rPr>
              <w:t xml:space="preserve">31,504,881.24</w:t>
            </w:r>
          </w:p>
        </w:tc>
        <w:tc>
          <w:tcPr>
            <w:tcW w:w="1240" w:type="dxa"/>
            <w:tcBorders/>
            <w:vAlign w:val="center"/>
          </w:tcPr>
          <w:p>
            <w:pPr>
              <w:snapToGrid w:val="0"/>
              <w:jc w:val="right"/>
            </w:pPr>
            <w:r>
              <w:rPr>
                <w:rFonts w:ascii="宋体" w:eastAsia="宋体" w:hAnsi="宋体" w:cs="宋体"/>
                <w:b w:val="0"/>
                <w:i w:val="0"/>
                <w:color w:val="000000"/>
                <w:sz w:val="14"/>
              </w:rPr>
              <w:t xml:space="preserve">31,504,881.24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32,715,912.20</w:t>
            </w:r>
          </w:p>
        </w:tc>
        <w:tc>
          <w:tcPr>
            <w:tcW w:w="1240" w:type="dxa"/>
            <w:tcBorders/>
            <w:vAlign w:val="center"/>
          </w:tcPr>
          <w:p>
            <w:pPr>
              <w:snapToGrid w:val="0"/>
              <w:jc w:val="right"/>
            </w:pPr>
            <w:r>
              <w:rPr>
                <w:rFonts w:ascii="宋体" w:eastAsia="宋体" w:hAnsi="宋体" w:cs="宋体"/>
                <w:b w:val="0"/>
                <w:i w:val="0"/>
                <w:color w:val="000000"/>
                <w:sz w:val="14"/>
              </w:rPr>
              <w:t xml:space="preserve">32,715,912.20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20,403,060.32</w:t>
            </w:r>
          </w:p>
        </w:tc>
        <w:tc>
          <w:tcPr>
            <w:tcW w:w="1240" w:type="dxa"/>
            <w:tcBorders/>
            <w:vAlign w:val="center"/>
          </w:tcPr>
          <w:p>
            <w:pPr>
              <w:snapToGrid w:val="0"/>
              <w:jc w:val="right"/>
            </w:pPr>
            <w:r>
              <w:rPr>
                <w:rFonts w:ascii="宋体" w:eastAsia="宋体" w:hAnsi="宋体" w:cs="宋体"/>
                <w:b w:val="0"/>
                <w:i w:val="0"/>
                <w:color w:val="000000"/>
                <w:sz w:val="14"/>
              </w:rPr>
              <w:t xml:space="preserve">20,403,060.32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12,312,851.88</w:t>
            </w:r>
          </w:p>
        </w:tc>
        <w:tc>
          <w:tcPr>
            <w:tcW w:w="1240" w:type="dxa"/>
            <w:tcBorders/>
            <w:vAlign w:val="center"/>
          </w:tcPr>
          <w:p>
            <w:pPr>
              <w:snapToGrid w:val="0"/>
              <w:jc w:val="right"/>
            </w:pPr>
            <w:r>
              <w:rPr>
                <w:rFonts w:ascii="宋体" w:eastAsia="宋体" w:hAnsi="宋体" w:cs="宋体"/>
                <w:b w:val="0"/>
                <w:i w:val="0"/>
                <w:color w:val="000000"/>
                <w:sz w:val="14"/>
              </w:rPr>
              <w:t xml:space="preserve">12,312,851.88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20899</w:t>
            </w:r>
          </w:p>
        </w:tc>
        <w:tc>
          <w:tcPr>
            <w:tcW w:w="2520" w:type="dxa"/>
            <w:tcBorders/>
            <w:vAlign w:val="center"/>
          </w:tcPr>
          <w:p>
            <w:pPr>
              <w:snapToGrid w:val="0"/>
              <w:jc w:val="left"/>
            </w:pPr>
            <w:r>
              <w:rPr>
                <w:rFonts w:ascii="宋体" w:eastAsia="宋体" w:hAnsi="宋体" w:cs="宋体"/>
                <w:b w:val="0"/>
                <w:i w:val="0"/>
                <w:color w:val="000000"/>
                <w:sz w:val="14"/>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407,044.00</w:t>
            </w:r>
          </w:p>
        </w:tc>
        <w:tc>
          <w:tcPr>
            <w:tcW w:w="1240" w:type="dxa"/>
            <w:tcBorders/>
            <w:vAlign w:val="center"/>
          </w:tcPr>
          <w:p>
            <w:pPr>
              <w:snapToGrid w:val="0"/>
              <w:jc w:val="right"/>
            </w:pPr>
            <w:r>
              <w:rPr>
                <w:rFonts w:ascii="宋体" w:eastAsia="宋体" w:hAnsi="宋体" w:cs="宋体"/>
                <w:b w:val="0"/>
                <w:i w:val="0"/>
                <w:color w:val="000000"/>
                <w:sz w:val="14"/>
              </w:rPr>
              <w:t xml:space="preserve">407,044.00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2089999</w:t>
            </w:r>
          </w:p>
        </w:tc>
        <w:tc>
          <w:tcPr>
            <w:tcW w:w="2520" w:type="dxa"/>
            <w:tcBorders/>
            <w:vAlign w:val="center"/>
          </w:tcPr>
          <w:p>
            <w:pPr>
              <w:snapToGrid w:val="0"/>
              <w:jc w:val="left"/>
            </w:pPr>
            <w:r>
              <w:rPr>
                <w:rFonts w:ascii="宋体" w:eastAsia="宋体" w:hAnsi="宋体" w:cs="宋体"/>
                <w:b w:val="0"/>
                <w:i w:val="0"/>
                <w:color w:val="000000"/>
                <w:sz w:val="14"/>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407,044.00</w:t>
            </w:r>
          </w:p>
        </w:tc>
        <w:tc>
          <w:tcPr>
            <w:tcW w:w="1240" w:type="dxa"/>
            <w:tcBorders/>
            <w:vAlign w:val="center"/>
          </w:tcPr>
          <w:p>
            <w:pPr>
              <w:snapToGrid w:val="0"/>
              <w:jc w:val="right"/>
            </w:pPr>
            <w:r>
              <w:rPr>
                <w:rFonts w:ascii="宋体" w:eastAsia="宋体" w:hAnsi="宋体" w:cs="宋体"/>
                <w:b w:val="0"/>
                <w:i w:val="0"/>
                <w:color w:val="000000"/>
                <w:sz w:val="14"/>
              </w:rPr>
              <w:t xml:space="preserve">407,044.00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14,848,724.20</w:t>
            </w:r>
          </w:p>
        </w:tc>
        <w:tc>
          <w:tcPr>
            <w:tcW w:w="1240" w:type="dxa"/>
            <w:tcBorders/>
            <w:vAlign w:val="center"/>
          </w:tcPr>
          <w:p>
            <w:pPr>
              <w:snapToGrid w:val="0"/>
              <w:jc w:val="right"/>
            </w:pPr>
            <w:r>
              <w:rPr>
                <w:rFonts w:ascii="宋体" w:eastAsia="宋体" w:hAnsi="宋体" w:cs="宋体"/>
                <w:b w:val="0"/>
                <w:i w:val="0"/>
                <w:color w:val="000000"/>
                <w:sz w:val="14"/>
              </w:rPr>
              <w:t xml:space="preserve">14,848,724.20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14,848,724.20</w:t>
            </w:r>
          </w:p>
        </w:tc>
        <w:tc>
          <w:tcPr>
            <w:tcW w:w="1240" w:type="dxa"/>
            <w:tcBorders/>
            <w:vAlign w:val="center"/>
          </w:tcPr>
          <w:p>
            <w:pPr>
              <w:snapToGrid w:val="0"/>
              <w:jc w:val="right"/>
            </w:pPr>
            <w:r>
              <w:rPr>
                <w:rFonts w:ascii="宋体" w:eastAsia="宋体" w:hAnsi="宋体" w:cs="宋体"/>
                <w:b w:val="0"/>
                <w:i w:val="0"/>
                <w:color w:val="000000"/>
                <w:sz w:val="14"/>
              </w:rPr>
              <w:t xml:space="preserve">14,848,724.20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12,373,341.66</w:t>
            </w:r>
          </w:p>
        </w:tc>
        <w:tc>
          <w:tcPr>
            <w:tcW w:w="1240" w:type="dxa"/>
            <w:tcBorders/>
            <w:vAlign w:val="center"/>
          </w:tcPr>
          <w:p>
            <w:pPr>
              <w:snapToGrid w:val="0"/>
              <w:jc w:val="right"/>
            </w:pPr>
            <w:r>
              <w:rPr>
                <w:rFonts w:ascii="宋体" w:eastAsia="宋体" w:hAnsi="宋体" w:cs="宋体"/>
                <w:b w:val="0"/>
                <w:i w:val="0"/>
                <w:color w:val="000000"/>
                <w:sz w:val="14"/>
              </w:rPr>
              <w:t xml:space="preserve">12,373,341.66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2,475,382.54</w:t>
            </w:r>
          </w:p>
        </w:tc>
        <w:tc>
          <w:tcPr>
            <w:tcW w:w="1240" w:type="dxa"/>
            <w:tcBorders/>
            <w:vAlign w:val="center"/>
          </w:tcPr>
          <w:p>
            <w:pPr>
              <w:snapToGrid w:val="0"/>
              <w:jc w:val="right"/>
            </w:pPr>
            <w:r>
              <w:rPr>
                <w:rFonts w:ascii="宋体" w:eastAsia="宋体" w:hAnsi="宋体" w:cs="宋体"/>
                <w:b w:val="0"/>
                <w:i w:val="0"/>
                <w:color w:val="000000"/>
                <w:sz w:val="14"/>
              </w:rPr>
              <w:t xml:space="preserve">2,475,382.54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单位：天津市社会保险基金管理中心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339,786,660.85</w:t>
            </w:r>
          </w:p>
        </w:tc>
        <w:tc>
          <w:tcPr>
            <w:tcW w:w="580" w:type="dxa"/>
            <w:tcBorders/>
            <w:vAlign w:val="center"/>
          </w:tcPr>
          <w:p>
            <w:pPr>
              <w:snapToGrid w:val="0"/>
              <w:jc w:val="right"/>
            </w:pPr>
            <w:r>
              <w:rPr>
                <w:rFonts w:ascii="宋体" w:eastAsia="宋体" w:hAnsi="宋体" w:cs="宋体"/>
                <w:b w:val="0"/>
                <w:i w:val="0"/>
                <w:color w:val="000000"/>
                <w:sz w:val="9"/>
              </w:rPr>
              <w:t xml:space="preserve">339,786,660.85</w:t>
            </w:r>
          </w:p>
        </w:tc>
        <w:tc>
          <w:tcPr>
            <w:tcW w:w="580" w:type="dxa"/>
            <w:tcBorders/>
            <w:vAlign w:val="center"/>
          </w:tcPr>
          <w:p>
            <w:pPr>
              <w:snapToGrid w:val="0"/>
              <w:jc w:val="right"/>
            </w:pPr>
            <w:r>
              <w:rPr>
                <w:rFonts w:ascii="宋体" w:eastAsia="宋体" w:hAnsi="宋体" w:cs="宋体"/>
                <w:b w:val="0"/>
                <w:i w:val="0"/>
                <w:color w:val="000000"/>
                <w:sz w:val="9"/>
              </w:rPr>
              <w:t xml:space="preserve">339,784,743.54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1,917.31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353302</w:t>
            </w:r>
          </w:p>
        </w:tc>
        <w:tc>
          <w:tcPr>
            <w:tcW w:w="1520" w:type="dxa"/>
            <w:tcBorders/>
            <w:vAlign w:val="center"/>
          </w:tcPr>
          <w:p>
            <w:pPr>
              <w:snapToGrid w:val="0"/>
              <w:jc w:val="center"/>
            </w:pPr>
            <w:r>
              <w:rPr>
                <w:rFonts w:ascii="宋体" w:eastAsia="宋体" w:hAnsi="宋体" w:cs="宋体"/>
                <w:b w:val="0"/>
                <w:i w:val="0"/>
                <w:color w:val="000000"/>
                <w:sz w:val="9"/>
              </w:rPr>
              <w:t xml:space="preserve">天津市社会保险基金管理中心</w:t>
            </w:r>
          </w:p>
        </w:tc>
        <w:tc>
          <w:tcPr>
            <w:tcW w:w="580" w:type="dxa"/>
            <w:tcBorders/>
            <w:vAlign w:val="center"/>
          </w:tcPr>
          <w:p>
            <w:pPr>
              <w:snapToGrid w:val="0"/>
              <w:jc w:val="right"/>
            </w:pPr>
            <w:r>
              <w:rPr>
                <w:rFonts w:ascii="宋体" w:eastAsia="宋体" w:hAnsi="宋体" w:cs="宋体"/>
                <w:b w:val="0"/>
                <w:i w:val="0"/>
                <w:color w:val="000000"/>
                <w:sz w:val="9"/>
              </w:rPr>
              <w:t xml:space="preserve">339,786,660.85</w:t>
            </w:r>
          </w:p>
        </w:tc>
        <w:tc>
          <w:tcPr>
            <w:tcW w:w="580" w:type="dxa"/>
            <w:tcBorders/>
            <w:vAlign w:val="center"/>
          </w:tcPr>
          <w:p>
            <w:pPr>
              <w:snapToGrid w:val="0"/>
              <w:jc w:val="right"/>
            </w:pPr>
            <w:r>
              <w:rPr>
                <w:rFonts w:ascii="宋体" w:eastAsia="宋体" w:hAnsi="宋体" w:cs="宋体"/>
                <w:b w:val="0"/>
                <w:i w:val="0"/>
                <w:color w:val="000000"/>
                <w:sz w:val="9"/>
              </w:rPr>
              <w:t xml:space="preserve">339,786,660.85</w:t>
            </w:r>
          </w:p>
        </w:tc>
        <w:tc>
          <w:tcPr>
            <w:tcW w:w="580" w:type="dxa"/>
            <w:tcBorders/>
            <w:vAlign w:val="center"/>
          </w:tcPr>
          <w:p>
            <w:pPr>
              <w:snapToGrid w:val="0"/>
              <w:jc w:val="right"/>
            </w:pPr>
            <w:r>
              <w:rPr>
                <w:rFonts w:ascii="宋体" w:eastAsia="宋体" w:hAnsi="宋体" w:cs="宋体"/>
                <w:b w:val="0"/>
                <w:i w:val="0"/>
                <w:color w:val="000000"/>
                <w:sz w:val="9"/>
              </w:rPr>
              <w:t xml:space="preserve">339,784,743.54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1,917.31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单位：天津市社会保险基金管理中心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339,784,743.54</w:t>
            </w:r>
          </w:p>
        </w:tc>
        <w:tc>
          <w:tcPr>
            <w:tcW w:w="1320" w:type="dxa"/>
            <w:tcBorders/>
            <w:vAlign w:val="center"/>
          </w:tcPr>
          <w:p>
            <w:pPr>
              <w:snapToGrid w:val="0"/>
              <w:jc w:val="right"/>
            </w:pPr>
            <w:r>
              <w:rPr>
                <w:rFonts w:ascii="宋体" w:eastAsia="宋体" w:hAnsi="宋体" w:cs="宋体"/>
                <w:b w:val="0"/>
                <w:i w:val="0"/>
                <w:color w:val="000000"/>
                <w:sz w:val="15"/>
              </w:rPr>
              <w:t xml:space="preserve">307,872,818.30</w:t>
            </w:r>
          </w:p>
        </w:tc>
        <w:tc>
          <w:tcPr>
            <w:tcW w:w="1320" w:type="dxa"/>
            <w:tcBorders/>
            <w:vAlign w:val="center"/>
          </w:tcPr>
          <w:p>
            <w:pPr>
              <w:snapToGrid w:val="0"/>
              <w:jc w:val="right"/>
            </w:pPr>
            <w:r>
              <w:rPr>
                <w:rFonts w:ascii="宋体" w:eastAsia="宋体" w:hAnsi="宋体" w:cs="宋体"/>
                <w:b w:val="0"/>
                <w:i w:val="0"/>
                <w:color w:val="000000"/>
                <w:sz w:val="15"/>
              </w:rPr>
              <w:t xml:space="preserve">31,911,925.24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324,936,019.34</w:t>
            </w:r>
          </w:p>
        </w:tc>
        <w:tc>
          <w:tcPr>
            <w:tcW w:w="1320" w:type="dxa"/>
            <w:tcBorders/>
            <w:vAlign w:val="center"/>
          </w:tcPr>
          <w:p>
            <w:pPr>
              <w:snapToGrid w:val="0"/>
              <w:jc w:val="right"/>
            </w:pPr>
            <w:r>
              <w:rPr>
                <w:rFonts w:ascii="宋体" w:eastAsia="宋体" w:hAnsi="宋体" w:cs="宋体"/>
                <w:b w:val="0"/>
                <w:i w:val="0"/>
                <w:color w:val="000000"/>
                <w:sz w:val="15"/>
              </w:rPr>
              <w:t xml:space="preserve">293,024,094.10</w:t>
            </w:r>
          </w:p>
        </w:tc>
        <w:tc>
          <w:tcPr>
            <w:tcW w:w="1320" w:type="dxa"/>
            <w:tcBorders/>
            <w:vAlign w:val="center"/>
          </w:tcPr>
          <w:p>
            <w:pPr>
              <w:snapToGrid w:val="0"/>
              <w:jc w:val="right"/>
            </w:pPr>
            <w:r>
              <w:rPr>
                <w:rFonts w:ascii="宋体" w:eastAsia="宋体" w:hAnsi="宋体" w:cs="宋体"/>
                <w:b w:val="0"/>
                <w:i w:val="0"/>
                <w:color w:val="000000"/>
                <w:sz w:val="15"/>
              </w:rPr>
              <w:t xml:space="preserve">31,911,925.24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w:t>
            </w:r>
          </w:p>
        </w:tc>
        <w:tc>
          <w:tcPr>
            <w:tcW w:w="4400" w:type="dxa"/>
            <w:tcBorders/>
            <w:vAlign w:val="center"/>
          </w:tcPr>
          <w:p>
            <w:pPr>
              <w:snapToGrid w:val="0"/>
              <w:jc w:val="left"/>
            </w:pPr>
            <w:r>
              <w:rPr>
                <w:rFonts w:ascii="宋体" w:eastAsia="宋体" w:hAnsi="宋体" w:cs="宋体"/>
                <w:b w:val="0"/>
                <w:i w:val="0"/>
                <w:color w:val="000000"/>
                <w:sz w:val="15"/>
              </w:rPr>
              <w:t xml:space="preserve">人力资源和社会保障管理事务</w:t>
            </w:r>
          </w:p>
        </w:tc>
        <w:tc>
          <w:tcPr>
            <w:tcW w:w="1320" w:type="dxa"/>
            <w:tcBorders/>
            <w:vAlign w:val="center"/>
          </w:tcPr>
          <w:p>
            <w:pPr>
              <w:snapToGrid w:val="0"/>
              <w:jc w:val="right"/>
            </w:pPr>
            <w:r>
              <w:rPr>
                <w:rFonts w:ascii="宋体" w:eastAsia="宋体" w:hAnsi="宋体" w:cs="宋体"/>
                <w:b w:val="0"/>
                <w:i w:val="0"/>
                <w:color w:val="000000"/>
                <w:sz w:val="15"/>
              </w:rPr>
              <w:t xml:space="preserve">291,813,063.14</w:t>
            </w:r>
          </w:p>
        </w:tc>
        <w:tc>
          <w:tcPr>
            <w:tcW w:w="1320" w:type="dxa"/>
            <w:tcBorders/>
            <w:vAlign w:val="center"/>
          </w:tcPr>
          <w:p>
            <w:pPr>
              <w:snapToGrid w:val="0"/>
              <w:jc w:val="right"/>
            </w:pPr>
            <w:r>
              <w:rPr>
                <w:rFonts w:ascii="宋体" w:eastAsia="宋体" w:hAnsi="宋体" w:cs="宋体"/>
                <w:b w:val="0"/>
                <w:i w:val="0"/>
                <w:color w:val="000000"/>
                <w:sz w:val="15"/>
              </w:rPr>
              <w:t xml:space="preserve">260,308,181.90</w:t>
            </w:r>
          </w:p>
        </w:tc>
        <w:tc>
          <w:tcPr>
            <w:tcW w:w="1320" w:type="dxa"/>
            <w:tcBorders/>
            <w:vAlign w:val="center"/>
          </w:tcPr>
          <w:p>
            <w:pPr>
              <w:snapToGrid w:val="0"/>
              <w:jc w:val="right"/>
            </w:pPr>
            <w:r>
              <w:rPr>
                <w:rFonts w:ascii="宋体" w:eastAsia="宋体" w:hAnsi="宋体" w:cs="宋体"/>
                <w:b w:val="0"/>
                <w:i w:val="0"/>
                <w:color w:val="000000"/>
                <w:sz w:val="15"/>
              </w:rPr>
              <w:t xml:space="preserve">31,504,881.24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260,308,181.90</w:t>
            </w:r>
          </w:p>
        </w:tc>
        <w:tc>
          <w:tcPr>
            <w:tcW w:w="1320" w:type="dxa"/>
            <w:tcBorders/>
            <w:vAlign w:val="center"/>
          </w:tcPr>
          <w:p>
            <w:pPr>
              <w:snapToGrid w:val="0"/>
              <w:jc w:val="right"/>
            </w:pPr>
            <w:r>
              <w:rPr>
                <w:rFonts w:ascii="宋体" w:eastAsia="宋体" w:hAnsi="宋体" w:cs="宋体"/>
                <w:b w:val="0"/>
                <w:i w:val="0"/>
                <w:color w:val="000000"/>
                <w:sz w:val="15"/>
              </w:rPr>
              <w:t xml:space="preserve">260,308,181.90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2080109</w:t>
            </w:r>
          </w:p>
        </w:tc>
        <w:tc>
          <w:tcPr>
            <w:tcW w:w="4400" w:type="dxa"/>
            <w:tcBorders/>
            <w:vAlign w:val="center"/>
          </w:tcPr>
          <w:p>
            <w:pPr>
              <w:snapToGrid w:val="0"/>
              <w:jc w:val="left"/>
            </w:pPr>
            <w:r>
              <w:rPr>
                <w:rFonts w:ascii="宋体" w:eastAsia="宋体" w:hAnsi="宋体" w:cs="宋体"/>
                <w:b w:val="0"/>
                <w:i w:val="0"/>
                <w:color w:val="000000"/>
                <w:sz w:val="15"/>
              </w:rPr>
              <w:t xml:space="preserve">社会保险经办机构</w:t>
            </w:r>
          </w:p>
        </w:tc>
        <w:tc>
          <w:tcPr>
            <w:tcW w:w="1320" w:type="dxa"/>
            <w:tcBorders/>
            <w:vAlign w:val="center"/>
          </w:tcPr>
          <w:p>
            <w:pPr>
              <w:snapToGrid w:val="0"/>
              <w:jc w:val="right"/>
            </w:pPr>
            <w:r>
              <w:rPr>
                <w:rFonts w:ascii="宋体" w:eastAsia="宋体" w:hAnsi="宋体" w:cs="宋体"/>
                <w:b w:val="0"/>
                <w:i w:val="0"/>
                <w:color w:val="000000"/>
                <w:sz w:val="15"/>
              </w:rPr>
              <w:t xml:space="preserve">31,504,881.24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31,504,881.24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32,715,912.20</w:t>
            </w:r>
          </w:p>
        </w:tc>
        <w:tc>
          <w:tcPr>
            <w:tcW w:w="1320" w:type="dxa"/>
            <w:tcBorders/>
            <w:vAlign w:val="center"/>
          </w:tcPr>
          <w:p>
            <w:pPr>
              <w:snapToGrid w:val="0"/>
              <w:jc w:val="right"/>
            </w:pPr>
            <w:r>
              <w:rPr>
                <w:rFonts w:ascii="宋体" w:eastAsia="宋体" w:hAnsi="宋体" w:cs="宋体"/>
                <w:b w:val="0"/>
                <w:i w:val="0"/>
                <w:color w:val="000000"/>
                <w:sz w:val="15"/>
              </w:rPr>
              <w:t xml:space="preserve">32,715,912.20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20,403,060.32</w:t>
            </w:r>
          </w:p>
        </w:tc>
        <w:tc>
          <w:tcPr>
            <w:tcW w:w="1320" w:type="dxa"/>
            <w:tcBorders/>
            <w:vAlign w:val="center"/>
          </w:tcPr>
          <w:p>
            <w:pPr>
              <w:snapToGrid w:val="0"/>
              <w:jc w:val="right"/>
            </w:pPr>
            <w:r>
              <w:rPr>
                <w:rFonts w:ascii="宋体" w:eastAsia="宋体" w:hAnsi="宋体" w:cs="宋体"/>
                <w:b w:val="0"/>
                <w:i w:val="0"/>
                <w:color w:val="000000"/>
                <w:sz w:val="15"/>
              </w:rPr>
              <w:t xml:space="preserve">20,403,060.32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12,312,851.88</w:t>
            </w:r>
          </w:p>
        </w:tc>
        <w:tc>
          <w:tcPr>
            <w:tcW w:w="1320" w:type="dxa"/>
            <w:tcBorders/>
            <w:vAlign w:val="center"/>
          </w:tcPr>
          <w:p>
            <w:pPr>
              <w:snapToGrid w:val="0"/>
              <w:jc w:val="right"/>
            </w:pPr>
            <w:r>
              <w:rPr>
                <w:rFonts w:ascii="宋体" w:eastAsia="宋体" w:hAnsi="宋体" w:cs="宋体"/>
                <w:b w:val="0"/>
                <w:i w:val="0"/>
                <w:color w:val="000000"/>
                <w:sz w:val="15"/>
              </w:rPr>
              <w:t xml:space="preserve">12,312,851.88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20899</w:t>
            </w:r>
          </w:p>
        </w:tc>
        <w:tc>
          <w:tcPr>
            <w:tcW w:w="4400" w:type="dxa"/>
            <w:tcBorders/>
            <w:vAlign w:val="center"/>
          </w:tcPr>
          <w:p>
            <w:pPr>
              <w:snapToGrid w:val="0"/>
              <w:jc w:val="left"/>
            </w:pPr>
            <w:r>
              <w:rPr>
                <w:rFonts w:ascii="宋体" w:eastAsia="宋体" w:hAnsi="宋体" w:cs="宋体"/>
                <w:b w:val="0"/>
                <w:i w:val="0"/>
                <w:color w:val="000000"/>
                <w:sz w:val="15"/>
              </w:rPr>
              <w:t xml:space="preserve">其他社会保障和就业支出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407,044.00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407,044.00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2089999</w:t>
            </w:r>
          </w:p>
        </w:tc>
        <w:tc>
          <w:tcPr>
            <w:tcW w:w="4400" w:type="dxa"/>
            <w:tcBorders/>
            <w:vAlign w:val="center"/>
          </w:tcPr>
          <w:p>
            <w:pPr>
              <w:snapToGrid w:val="0"/>
              <w:jc w:val="left"/>
            </w:pPr>
            <w:r>
              <w:rPr>
                <w:rFonts w:ascii="宋体" w:eastAsia="宋体" w:hAnsi="宋体" w:cs="宋体"/>
                <w:b w:val="0"/>
                <w:i w:val="0"/>
                <w:color w:val="000000"/>
                <w:sz w:val="15"/>
              </w:rPr>
              <w:t xml:space="preserve">其他社会保障和就业支出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407,044.00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407,044.00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14,848,724.20</w:t>
            </w:r>
          </w:p>
        </w:tc>
        <w:tc>
          <w:tcPr>
            <w:tcW w:w="1320" w:type="dxa"/>
            <w:tcBorders/>
            <w:vAlign w:val="center"/>
          </w:tcPr>
          <w:p>
            <w:pPr>
              <w:snapToGrid w:val="0"/>
              <w:jc w:val="right"/>
            </w:pPr>
            <w:r>
              <w:rPr>
                <w:rFonts w:ascii="宋体" w:eastAsia="宋体" w:hAnsi="宋体" w:cs="宋体"/>
                <w:b w:val="0"/>
                <w:i w:val="0"/>
                <w:color w:val="000000"/>
                <w:sz w:val="15"/>
              </w:rPr>
              <w:t xml:space="preserve">14,848,724.20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14,848,724.20</w:t>
            </w:r>
          </w:p>
        </w:tc>
        <w:tc>
          <w:tcPr>
            <w:tcW w:w="1320" w:type="dxa"/>
            <w:tcBorders/>
            <w:vAlign w:val="center"/>
          </w:tcPr>
          <w:p>
            <w:pPr>
              <w:snapToGrid w:val="0"/>
              <w:jc w:val="right"/>
            </w:pPr>
            <w:r>
              <w:rPr>
                <w:rFonts w:ascii="宋体" w:eastAsia="宋体" w:hAnsi="宋体" w:cs="宋体"/>
                <w:b w:val="0"/>
                <w:i w:val="0"/>
                <w:color w:val="000000"/>
                <w:sz w:val="15"/>
              </w:rPr>
              <w:t xml:space="preserve">14,848,724.20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12,373,341.66</w:t>
            </w:r>
          </w:p>
        </w:tc>
        <w:tc>
          <w:tcPr>
            <w:tcW w:w="1320" w:type="dxa"/>
            <w:tcBorders/>
            <w:vAlign w:val="center"/>
          </w:tcPr>
          <w:p>
            <w:pPr>
              <w:snapToGrid w:val="0"/>
              <w:jc w:val="right"/>
            </w:pPr>
            <w:r>
              <w:rPr>
                <w:rFonts w:ascii="宋体" w:eastAsia="宋体" w:hAnsi="宋体" w:cs="宋体"/>
                <w:b w:val="0"/>
                <w:i w:val="0"/>
                <w:color w:val="000000"/>
                <w:sz w:val="15"/>
              </w:rPr>
              <w:t xml:space="preserve">12,373,341.66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2,475,382.54</w:t>
            </w:r>
          </w:p>
        </w:tc>
        <w:tc>
          <w:tcPr>
            <w:tcW w:w="1320" w:type="dxa"/>
            <w:tcBorders/>
            <w:vAlign w:val="center"/>
          </w:tcPr>
          <w:p>
            <w:pPr>
              <w:snapToGrid w:val="0"/>
              <w:jc w:val="right"/>
            </w:pPr>
            <w:r>
              <w:rPr>
                <w:rFonts w:ascii="宋体" w:eastAsia="宋体" w:hAnsi="宋体" w:cs="宋体"/>
                <w:b w:val="0"/>
                <w:i w:val="0"/>
                <w:color w:val="000000"/>
                <w:sz w:val="15"/>
              </w:rPr>
              <w:t xml:space="preserve">2,475,382.54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单位：天津市社会保险基金管理中心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339,784,743.54</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324,936,019.34</w:t>
            </w:r>
          </w:p>
        </w:tc>
        <w:tc>
          <w:tcPr>
            <w:tcW w:w="1420" w:type="dxa"/>
            <w:tcBorders/>
            <w:vAlign w:val="center"/>
          </w:tcPr>
          <w:p>
            <w:pPr>
              <w:snapToGrid w:val="0"/>
              <w:jc w:val="right"/>
            </w:pPr>
            <w:r>
              <w:rPr>
                <w:rFonts w:ascii="宋体" w:eastAsia="宋体" w:hAnsi="宋体" w:cs="宋体"/>
                <w:b w:val="0"/>
                <w:i w:val="0"/>
                <w:color w:val="000000"/>
                <w:sz w:val="16"/>
              </w:rPr>
              <w:t xml:space="preserve">324,936,019.34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14,848,724.20</w:t>
            </w:r>
          </w:p>
        </w:tc>
        <w:tc>
          <w:tcPr>
            <w:tcW w:w="1420" w:type="dxa"/>
            <w:tcBorders/>
            <w:vAlign w:val="center"/>
          </w:tcPr>
          <w:p>
            <w:pPr>
              <w:snapToGrid w:val="0"/>
              <w:jc w:val="right"/>
            </w:pPr>
            <w:r>
              <w:rPr>
                <w:rFonts w:ascii="宋体" w:eastAsia="宋体" w:hAnsi="宋体" w:cs="宋体"/>
                <w:b w:val="0"/>
                <w:i w:val="0"/>
                <w:color w:val="000000"/>
                <w:sz w:val="16"/>
              </w:rPr>
              <w:t xml:space="preserve">14,848,724.20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339,784,743.54</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339,784,743.54</w:t>
            </w:r>
          </w:p>
        </w:tc>
        <w:tc>
          <w:tcPr>
            <w:tcW w:w="1420" w:type="dxa"/>
            <w:tcBorders/>
            <w:vAlign w:val="center"/>
          </w:tcPr>
          <w:p>
            <w:pPr>
              <w:snapToGrid w:val="0"/>
              <w:jc w:val="right"/>
            </w:pPr>
            <w:r>
              <w:rPr>
                <w:rFonts w:ascii="宋体" w:eastAsia="宋体" w:hAnsi="宋体" w:cs="宋体"/>
                <w:b w:val="0"/>
                <w:i w:val="0"/>
                <w:color w:val="000000"/>
                <w:sz w:val="16"/>
              </w:rPr>
              <w:t xml:space="preserve">339,784,743.54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339,784,743.54</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339,784,743.54</w:t>
            </w:r>
          </w:p>
        </w:tc>
        <w:tc>
          <w:tcPr>
            <w:tcW w:w="1420" w:type="dxa"/>
            <w:tcBorders/>
            <w:vAlign w:val="center"/>
          </w:tcPr>
          <w:p>
            <w:pPr>
              <w:snapToGrid w:val="0"/>
              <w:jc w:val="right"/>
            </w:pPr>
            <w:r>
              <w:rPr>
                <w:rFonts w:ascii="宋体" w:eastAsia="宋体" w:hAnsi="宋体" w:cs="宋体"/>
                <w:b w:val="0"/>
                <w:i w:val="0"/>
                <w:color w:val="000000"/>
                <w:sz w:val="16"/>
              </w:rPr>
              <w:t xml:space="preserve">339,784,743.54</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单位：天津市社会保险基金管理中心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339,784,743.54</w:t>
            </w:r>
          </w:p>
        </w:tc>
        <w:tc>
          <w:tcPr>
            <w:tcW w:w="1720" w:type="dxa"/>
            <w:tcBorders/>
            <w:vAlign w:val="center"/>
          </w:tcPr>
          <w:p>
            <w:pPr>
              <w:snapToGrid w:val="0"/>
              <w:jc w:val="right"/>
            </w:pPr>
            <w:r>
              <w:rPr>
                <w:rFonts w:ascii="宋体" w:eastAsia="宋体" w:hAnsi="宋体" w:cs="宋体"/>
                <w:b w:val="0"/>
                <w:i w:val="0"/>
                <w:color w:val="000000"/>
                <w:sz w:val="20"/>
              </w:rPr>
              <w:t xml:space="preserve">307,872,818.30</w:t>
            </w:r>
          </w:p>
        </w:tc>
        <w:tc>
          <w:tcPr>
            <w:tcW w:w="1720" w:type="dxa"/>
            <w:tcBorders/>
            <w:vAlign w:val="center"/>
          </w:tcPr>
          <w:p>
            <w:pPr>
              <w:snapToGrid w:val="0"/>
              <w:jc w:val="right"/>
            </w:pPr>
            <w:r>
              <w:rPr>
                <w:rFonts w:ascii="宋体" w:eastAsia="宋体" w:hAnsi="宋体" w:cs="宋体"/>
                <w:b w:val="0"/>
                <w:i w:val="0"/>
                <w:color w:val="000000"/>
                <w:sz w:val="20"/>
              </w:rPr>
              <w:t xml:space="preserve">266,444,699.57</w:t>
            </w:r>
          </w:p>
        </w:tc>
        <w:tc>
          <w:tcPr>
            <w:tcW w:w="1720" w:type="dxa"/>
            <w:tcBorders/>
            <w:vAlign w:val="center"/>
          </w:tcPr>
          <w:p>
            <w:pPr>
              <w:snapToGrid w:val="0"/>
              <w:jc w:val="right"/>
            </w:pPr>
            <w:r>
              <w:rPr>
                <w:rFonts w:ascii="宋体" w:eastAsia="宋体" w:hAnsi="宋体" w:cs="宋体"/>
                <w:b w:val="0"/>
                <w:i w:val="0"/>
                <w:color w:val="000000"/>
                <w:sz w:val="20"/>
              </w:rPr>
              <w:t xml:space="preserve">41,428,118.73</w:t>
            </w:r>
          </w:p>
        </w:tc>
        <w:tc>
          <w:tcPr>
            <w:tcW w:w="1698" w:type="dxa"/>
            <w:tcBorders/>
            <w:vAlign w:val="center"/>
          </w:tcPr>
          <w:p>
            <w:pPr>
              <w:snapToGrid w:val="0"/>
              <w:jc w:val="right"/>
            </w:pPr>
            <w:r>
              <w:rPr>
                <w:rFonts w:ascii="宋体" w:eastAsia="宋体" w:hAnsi="宋体" w:cs="宋体"/>
                <w:b w:val="0"/>
                <w:i w:val="0"/>
                <w:color w:val="000000"/>
                <w:sz w:val="20"/>
              </w:rPr>
              <w:t xml:space="preserve">31,911,925.24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324,936,019.34</w:t>
            </w:r>
          </w:p>
        </w:tc>
        <w:tc>
          <w:tcPr>
            <w:tcW w:w="1720" w:type="dxa"/>
            <w:tcBorders/>
            <w:vAlign w:val="center"/>
          </w:tcPr>
          <w:p>
            <w:pPr>
              <w:snapToGrid w:val="0"/>
              <w:jc w:val="right"/>
            </w:pPr>
            <w:r>
              <w:rPr>
                <w:rFonts w:ascii="宋体" w:eastAsia="宋体" w:hAnsi="宋体" w:cs="宋体"/>
                <w:b w:val="0"/>
                <w:i w:val="0"/>
                <w:color w:val="000000"/>
                <w:sz w:val="20"/>
              </w:rPr>
              <w:t xml:space="preserve">293,024,094.10</w:t>
            </w:r>
          </w:p>
        </w:tc>
        <w:tc>
          <w:tcPr>
            <w:tcW w:w="1720" w:type="dxa"/>
            <w:tcBorders/>
            <w:vAlign w:val="center"/>
          </w:tcPr>
          <w:p>
            <w:pPr>
              <w:snapToGrid w:val="0"/>
              <w:jc w:val="right"/>
            </w:pPr>
            <w:r>
              <w:rPr>
                <w:rFonts w:ascii="宋体" w:eastAsia="宋体" w:hAnsi="宋体" w:cs="宋体"/>
                <w:b w:val="0"/>
                <w:i w:val="0"/>
                <w:color w:val="000000"/>
                <w:sz w:val="20"/>
              </w:rPr>
              <w:t xml:space="preserve">251,595,975.37</w:t>
            </w:r>
          </w:p>
        </w:tc>
        <w:tc>
          <w:tcPr>
            <w:tcW w:w="1720" w:type="dxa"/>
            <w:tcBorders/>
            <w:vAlign w:val="center"/>
          </w:tcPr>
          <w:p>
            <w:pPr>
              <w:snapToGrid w:val="0"/>
              <w:jc w:val="right"/>
            </w:pPr>
            <w:r>
              <w:rPr>
                <w:rFonts w:ascii="宋体" w:eastAsia="宋体" w:hAnsi="宋体" w:cs="宋体"/>
                <w:b w:val="0"/>
                <w:i w:val="0"/>
                <w:color w:val="000000"/>
                <w:sz w:val="20"/>
              </w:rPr>
              <w:t xml:space="preserve">41,428,118.73</w:t>
            </w:r>
          </w:p>
        </w:tc>
        <w:tc>
          <w:tcPr>
            <w:tcW w:w="1698" w:type="dxa"/>
            <w:tcBorders/>
            <w:vAlign w:val="center"/>
          </w:tcPr>
          <w:p>
            <w:pPr>
              <w:snapToGrid w:val="0"/>
              <w:jc w:val="right"/>
            </w:pPr>
            <w:r>
              <w:rPr>
                <w:rFonts w:ascii="宋体" w:eastAsia="宋体" w:hAnsi="宋体" w:cs="宋体"/>
                <w:b w:val="0"/>
                <w:i w:val="0"/>
                <w:color w:val="000000"/>
                <w:sz w:val="20"/>
              </w:rPr>
              <w:t xml:space="preserve">31,911,925.24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w:t>
            </w:r>
          </w:p>
        </w:tc>
        <w:tc>
          <w:tcPr>
            <w:tcW w:w="3480" w:type="dxa"/>
            <w:tcBorders/>
            <w:vAlign w:val="center"/>
          </w:tcPr>
          <w:p>
            <w:pPr>
              <w:snapToGrid w:val="0"/>
              <w:jc w:val="left"/>
            </w:pPr>
            <w:r>
              <w:rPr>
                <w:rFonts w:ascii="宋体" w:eastAsia="宋体" w:hAnsi="宋体" w:cs="宋体"/>
                <w:b w:val="0"/>
                <w:i w:val="0"/>
                <w:color w:val="000000"/>
                <w:sz w:val="20"/>
              </w:rPr>
              <w:t xml:space="preserve">人力资源和社会保障管理事务</w:t>
            </w:r>
          </w:p>
        </w:tc>
        <w:tc>
          <w:tcPr>
            <w:tcW w:w="1720" w:type="dxa"/>
            <w:tcBorders/>
            <w:vAlign w:val="center"/>
          </w:tcPr>
          <w:p>
            <w:pPr>
              <w:snapToGrid w:val="0"/>
              <w:jc w:val="right"/>
            </w:pPr>
            <w:r>
              <w:rPr>
                <w:rFonts w:ascii="宋体" w:eastAsia="宋体" w:hAnsi="宋体" w:cs="宋体"/>
                <w:b w:val="0"/>
                <w:i w:val="0"/>
                <w:color w:val="000000"/>
                <w:sz w:val="20"/>
              </w:rPr>
              <w:t xml:space="preserve">291,813,063.14</w:t>
            </w:r>
          </w:p>
        </w:tc>
        <w:tc>
          <w:tcPr>
            <w:tcW w:w="1720" w:type="dxa"/>
            <w:tcBorders/>
            <w:vAlign w:val="center"/>
          </w:tcPr>
          <w:p>
            <w:pPr>
              <w:snapToGrid w:val="0"/>
              <w:jc w:val="right"/>
            </w:pPr>
            <w:r>
              <w:rPr>
                <w:rFonts w:ascii="宋体" w:eastAsia="宋体" w:hAnsi="宋体" w:cs="宋体"/>
                <w:b w:val="0"/>
                <w:i w:val="0"/>
                <w:color w:val="000000"/>
                <w:sz w:val="20"/>
              </w:rPr>
              <w:t xml:space="preserve">260,308,181.90</w:t>
            </w:r>
          </w:p>
        </w:tc>
        <w:tc>
          <w:tcPr>
            <w:tcW w:w="1720" w:type="dxa"/>
            <w:tcBorders/>
            <w:vAlign w:val="center"/>
          </w:tcPr>
          <w:p>
            <w:pPr>
              <w:snapToGrid w:val="0"/>
              <w:jc w:val="right"/>
            </w:pPr>
            <w:r>
              <w:rPr>
                <w:rFonts w:ascii="宋体" w:eastAsia="宋体" w:hAnsi="宋体" w:cs="宋体"/>
                <w:b w:val="0"/>
                <w:i w:val="0"/>
                <w:color w:val="000000"/>
                <w:sz w:val="20"/>
              </w:rPr>
              <w:t xml:space="preserve">218,880,063.17</w:t>
            </w:r>
          </w:p>
        </w:tc>
        <w:tc>
          <w:tcPr>
            <w:tcW w:w="1720" w:type="dxa"/>
            <w:tcBorders/>
            <w:vAlign w:val="center"/>
          </w:tcPr>
          <w:p>
            <w:pPr>
              <w:snapToGrid w:val="0"/>
              <w:jc w:val="right"/>
            </w:pPr>
            <w:r>
              <w:rPr>
                <w:rFonts w:ascii="宋体" w:eastAsia="宋体" w:hAnsi="宋体" w:cs="宋体"/>
                <w:b w:val="0"/>
                <w:i w:val="0"/>
                <w:color w:val="000000"/>
                <w:sz w:val="20"/>
              </w:rPr>
              <w:t xml:space="preserve">41,428,118.73</w:t>
            </w:r>
          </w:p>
        </w:tc>
        <w:tc>
          <w:tcPr>
            <w:tcW w:w="1698" w:type="dxa"/>
            <w:tcBorders/>
            <w:vAlign w:val="center"/>
          </w:tcPr>
          <w:p>
            <w:pPr>
              <w:snapToGrid w:val="0"/>
              <w:jc w:val="right"/>
            </w:pPr>
            <w:r>
              <w:rPr>
                <w:rFonts w:ascii="宋体" w:eastAsia="宋体" w:hAnsi="宋体" w:cs="宋体"/>
                <w:b w:val="0"/>
                <w:i w:val="0"/>
                <w:color w:val="000000"/>
                <w:sz w:val="20"/>
              </w:rPr>
              <w:t xml:space="preserve">31,504,881.24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260,308,181.90</w:t>
            </w:r>
          </w:p>
        </w:tc>
        <w:tc>
          <w:tcPr>
            <w:tcW w:w="1720" w:type="dxa"/>
            <w:tcBorders/>
            <w:vAlign w:val="center"/>
          </w:tcPr>
          <w:p>
            <w:pPr>
              <w:snapToGrid w:val="0"/>
              <w:jc w:val="right"/>
            </w:pPr>
            <w:r>
              <w:rPr>
                <w:rFonts w:ascii="宋体" w:eastAsia="宋体" w:hAnsi="宋体" w:cs="宋体"/>
                <w:b w:val="0"/>
                <w:i w:val="0"/>
                <w:color w:val="000000"/>
                <w:sz w:val="20"/>
              </w:rPr>
              <w:t xml:space="preserve">260,308,181.90</w:t>
            </w:r>
          </w:p>
        </w:tc>
        <w:tc>
          <w:tcPr>
            <w:tcW w:w="1720" w:type="dxa"/>
            <w:tcBorders/>
            <w:vAlign w:val="center"/>
          </w:tcPr>
          <w:p>
            <w:pPr>
              <w:snapToGrid w:val="0"/>
              <w:jc w:val="right"/>
            </w:pPr>
            <w:r>
              <w:rPr>
                <w:rFonts w:ascii="宋体" w:eastAsia="宋体" w:hAnsi="宋体" w:cs="宋体"/>
                <w:b w:val="0"/>
                <w:i w:val="0"/>
                <w:color w:val="000000"/>
                <w:sz w:val="20"/>
              </w:rPr>
              <w:t xml:space="preserve">218,880,063.17</w:t>
            </w:r>
          </w:p>
        </w:tc>
        <w:tc>
          <w:tcPr>
            <w:tcW w:w="1720" w:type="dxa"/>
            <w:tcBorders/>
            <w:vAlign w:val="center"/>
          </w:tcPr>
          <w:p>
            <w:pPr>
              <w:snapToGrid w:val="0"/>
              <w:jc w:val="right"/>
            </w:pPr>
            <w:r>
              <w:rPr>
                <w:rFonts w:ascii="宋体" w:eastAsia="宋体" w:hAnsi="宋体" w:cs="宋体"/>
                <w:b w:val="0"/>
                <w:i w:val="0"/>
                <w:color w:val="000000"/>
                <w:sz w:val="20"/>
              </w:rPr>
              <w:t xml:space="preserve">41,428,118.73</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2080109</w:t>
            </w:r>
          </w:p>
        </w:tc>
        <w:tc>
          <w:tcPr>
            <w:tcW w:w="3480" w:type="dxa"/>
            <w:tcBorders/>
            <w:vAlign w:val="center"/>
          </w:tcPr>
          <w:p>
            <w:pPr>
              <w:snapToGrid w:val="0"/>
              <w:jc w:val="left"/>
            </w:pPr>
            <w:r>
              <w:rPr>
                <w:rFonts w:ascii="宋体" w:eastAsia="宋体" w:hAnsi="宋体" w:cs="宋体"/>
                <w:b w:val="0"/>
                <w:i w:val="0"/>
                <w:color w:val="000000"/>
                <w:sz w:val="20"/>
              </w:rPr>
              <w:t xml:space="preserve">社会保险经办机构</w:t>
            </w:r>
          </w:p>
        </w:tc>
        <w:tc>
          <w:tcPr>
            <w:tcW w:w="1720" w:type="dxa"/>
            <w:tcBorders/>
            <w:vAlign w:val="center"/>
          </w:tcPr>
          <w:p>
            <w:pPr>
              <w:snapToGrid w:val="0"/>
              <w:jc w:val="right"/>
            </w:pPr>
            <w:r>
              <w:rPr>
                <w:rFonts w:ascii="宋体" w:eastAsia="宋体" w:hAnsi="宋体" w:cs="宋体"/>
                <w:b w:val="0"/>
                <w:i w:val="0"/>
                <w:color w:val="000000"/>
                <w:sz w:val="20"/>
              </w:rPr>
              <w:t xml:space="preserve">31,504,881.24</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31,504,881.24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32,715,912.20</w:t>
            </w:r>
          </w:p>
        </w:tc>
        <w:tc>
          <w:tcPr>
            <w:tcW w:w="1720" w:type="dxa"/>
            <w:tcBorders/>
            <w:vAlign w:val="center"/>
          </w:tcPr>
          <w:p>
            <w:pPr>
              <w:snapToGrid w:val="0"/>
              <w:jc w:val="right"/>
            </w:pPr>
            <w:r>
              <w:rPr>
                <w:rFonts w:ascii="宋体" w:eastAsia="宋体" w:hAnsi="宋体" w:cs="宋体"/>
                <w:b w:val="0"/>
                <w:i w:val="0"/>
                <w:color w:val="000000"/>
                <w:sz w:val="20"/>
              </w:rPr>
              <w:t xml:space="preserve">32,715,912.20</w:t>
            </w:r>
          </w:p>
        </w:tc>
        <w:tc>
          <w:tcPr>
            <w:tcW w:w="1720" w:type="dxa"/>
            <w:tcBorders/>
            <w:vAlign w:val="center"/>
          </w:tcPr>
          <w:p>
            <w:pPr>
              <w:snapToGrid w:val="0"/>
              <w:jc w:val="right"/>
            </w:pPr>
            <w:r>
              <w:rPr>
                <w:rFonts w:ascii="宋体" w:eastAsia="宋体" w:hAnsi="宋体" w:cs="宋体"/>
                <w:b w:val="0"/>
                <w:i w:val="0"/>
                <w:color w:val="000000"/>
                <w:sz w:val="20"/>
              </w:rPr>
              <w:t xml:space="preserve">32,715,912.20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20,403,060.32</w:t>
            </w:r>
          </w:p>
        </w:tc>
        <w:tc>
          <w:tcPr>
            <w:tcW w:w="1720" w:type="dxa"/>
            <w:tcBorders/>
            <w:vAlign w:val="center"/>
          </w:tcPr>
          <w:p>
            <w:pPr>
              <w:snapToGrid w:val="0"/>
              <w:jc w:val="right"/>
            </w:pPr>
            <w:r>
              <w:rPr>
                <w:rFonts w:ascii="宋体" w:eastAsia="宋体" w:hAnsi="宋体" w:cs="宋体"/>
                <w:b w:val="0"/>
                <w:i w:val="0"/>
                <w:color w:val="000000"/>
                <w:sz w:val="20"/>
              </w:rPr>
              <w:t xml:space="preserve">20,403,060.32</w:t>
            </w:r>
          </w:p>
        </w:tc>
        <w:tc>
          <w:tcPr>
            <w:tcW w:w="1720" w:type="dxa"/>
            <w:tcBorders/>
            <w:vAlign w:val="center"/>
          </w:tcPr>
          <w:p>
            <w:pPr>
              <w:snapToGrid w:val="0"/>
              <w:jc w:val="right"/>
            </w:pPr>
            <w:r>
              <w:rPr>
                <w:rFonts w:ascii="宋体" w:eastAsia="宋体" w:hAnsi="宋体" w:cs="宋体"/>
                <w:b w:val="0"/>
                <w:i w:val="0"/>
                <w:color w:val="000000"/>
                <w:sz w:val="20"/>
              </w:rPr>
              <w:t xml:space="preserve">20,403,060.32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12,312,851.88</w:t>
            </w:r>
          </w:p>
        </w:tc>
        <w:tc>
          <w:tcPr>
            <w:tcW w:w="1720" w:type="dxa"/>
            <w:tcBorders/>
            <w:vAlign w:val="center"/>
          </w:tcPr>
          <w:p>
            <w:pPr>
              <w:snapToGrid w:val="0"/>
              <w:jc w:val="right"/>
            </w:pPr>
            <w:r>
              <w:rPr>
                <w:rFonts w:ascii="宋体" w:eastAsia="宋体" w:hAnsi="宋体" w:cs="宋体"/>
                <w:b w:val="0"/>
                <w:i w:val="0"/>
                <w:color w:val="000000"/>
                <w:sz w:val="20"/>
              </w:rPr>
              <w:t xml:space="preserve">12,312,851.88</w:t>
            </w:r>
          </w:p>
        </w:tc>
        <w:tc>
          <w:tcPr>
            <w:tcW w:w="1720" w:type="dxa"/>
            <w:tcBorders/>
            <w:vAlign w:val="center"/>
          </w:tcPr>
          <w:p>
            <w:pPr>
              <w:snapToGrid w:val="0"/>
              <w:jc w:val="right"/>
            </w:pPr>
            <w:r>
              <w:rPr>
                <w:rFonts w:ascii="宋体" w:eastAsia="宋体" w:hAnsi="宋体" w:cs="宋体"/>
                <w:b w:val="0"/>
                <w:i w:val="0"/>
                <w:color w:val="000000"/>
                <w:sz w:val="20"/>
              </w:rPr>
              <w:t xml:space="preserve">12,312,851.88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20899</w:t>
            </w:r>
          </w:p>
        </w:tc>
        <w:tc>
          <w:tcPr>
            <w:tcW w:w="3480" w:type="dxa"/>
            <w:tcBorders/>
            <w:vAlign w:val="center"/>
          </w:tcPr>
          <w:p>
            <w:pPr>
              <w:snapToGrid w:val="0"/>
              <w:jc w:val="left"/>
            </w:pPr>
            <w:r>
              <w:rPr>
                <w:rFonts w:ascii="宋体" w:eastAsia="宋体" w:hAnsi="宋体" w:cs="宋体"/>
                <w:b w:val="0"/>
                <w:i w:val="0"/>
                <w:color w:val="000000"/>
                <w:sz w:val="20"/>
              </w:rPr>
              <w:t xml:space="preserve">其他社会保障和就业支出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407,044.00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407,044.00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2089999</w:t>
            </w:r>
          </w:p>
        </w:tc>
        <w:tc>
          <w:tcPr>
            <w:tcW w:w="3480" w:type="dxa"/>
            <w:tcBorders/>
            <w:vAlign w:val="center"/>
          </w:tcPr>
          <w:p>
            <w:pPr>
              <w:snapToGrid w:val="0"/>
              <w:jc w:val="left"/>
            </w:pPr>
            <w:r>
              <w:rPr>
                <w:rFonts w:ascii="宋体" w:eastAsia="宋体" w:hAnsi="宋体" w:cs="宋体"/>
                <w:b w:val="0"/>
                <w:i w:val="0"/>
                <w:color w:val="000000"/>
                <w:sz w:val="20"/>
              </w:rPr>
              <w:t xml:space="preserve">其他社会保障和就业支出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407,044.00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407,044.00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14,848,724.20</w:t>
            </w:r>
          </w:p>
        </w:tc>
        <w:tc>
          <w:tcPr>
            <w:tcW w:w="1720" w:type="dxa"/>
            <w:tcBorders/>
            <w:vAlign w:val="center"/>
          </w:tcPr>
          <w:p>
            <w:pPr>
              <w:snapToGrid w:val="0"/>
              <w:jc w:val="right"/>
            </w:pPr>
            <w:r>
              <w:rPr>
                <w:rFonts w:ascii="宋体" w:eastAsia="宋体" w:hAnsi="宋体" w:cs="宋体"/>
                <w:b w:val="0"/>
                <w:i w:val="0"/>
                <w:color w:val="000000"/>
                <w:sz w:val="20"/>
              </w:rPr>
              <w:t xml:space="preserve">14,848,724.20</w:t>
            </w:r>
          </w:p>
        </w:tc>
        <w:tc>
          <w:tcPr>
            <w:tcW w:w="1720" w:type="dxa"/>
            <w:tcBorders/>
            <w:vAlign w:val="center"/>
          </w:tcPr>
          <w:p>
            <w:pPr>
              <w:snapToGrid w:val="0"/>
              <w:jc w:val="right"/>
            </w:pPr>
            <w:r>
              <w:rPr>
                <w:rFonts w:ascii="宋体" w:eastAsia="宋体" w:hAnsi="宋体" w:cs="宋体"/>
                <w:b w:val="0"/>
                <w:i w:val="0"/>
                <w:color w:val="000000"/>
                <w:sz w:val="20"/>
              </w:rPr>
              <w:t xml:space="preserve">14,848,724.20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14,848,724.20</w:t>
            </w:r>
          </w:p>
        </w:tc>
        <w:tc>
          <w:tcPr>
            <w:tcW w:w="1720" w:type="dxa"/>
            <w:tcBorders/>
            <w:vAlign w:val="center"/>
          </w:tcPr>
          <w:p>
            <w:pPr>
              <w:snapToGrid w:val="0"/>
              <w:jc w:val="right"/>
            </w:pPr>
            <w:r>
              <w:rPr>
                <w:rFonts w:ascii="宋体" w:eastAsia="宋体" w:hAnsi="宋体" w:cs="宋体"/>
                <w:b w:val="0"/>
                <w:i w:val="0"/>
                <w:color w:val="000000"/>
                <w:sz w:val="20"/>
              </w:rPr>
              <w:t xml:space="preserve">14,848,724.20</w:t>
            </w:r>
          </w:p>
        </w:tc>
        <w:tc>
          <w:tcPr>
            <w:tcW w:w="1720" w:type="dxa"/>
            <w:tcBorders/>
            <w:vAlign w:val="center"/>
          </w:tcPr>
          <w:p>
            <w:pPr>
              <w:snapToGrid w:val="0"/>
              <w:jc w:val="right"/>
            </w:pPr>
            <w:r>
              <w:rPr>
                <w:rFonts w:ascii="宋体" w:eastAsia="宋体" w:hAnsi="宋体" w:cs="宋体"/>
                <w:b w:val="0"/>
                <w:i w:val="0"/>
                <w:color w:val="000000"/>
                <w:sz w:val="20"/>
              </w:rPr>
              <w:t xml:space="preserve">14,848,724.20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12,373,341.66</w:t>
            </w:r>
          </w:p>
        </w:tc>
        <w:tc>
          <w:tcPr>
            <w:tcW w:w="1720" w:type="dxa"/>
            <w:tcBorders/>
            <w:vAlign w:val="center"/>
          </w:tcPr>
          <w:p>
            <w:pPr>
              <w:snapToGrid w:val="0"/>
              <w:jc w:val="right"/>
            </w:pPr>
            <w:r>
              <w:rPr>
                <w:rFonts w:ascii="宋体" w:eastAsia="宋体" w:hAnsi="宋体" w:cs="宋体"/>
                <w:b w:val="0"/>
                <w:i w:val="0"/>
                <w:color w:val="000000"/>
                <w:sz w:val="20"/>
              </w:rPr>
              <w:t xml:space="preserve">12,373,341.66</w:t>
            </w:r>
          </w:p>
        </w:tc>
        <w:tc>
          <w:tcPr>
            <w:tcW w:w="1720" w:type="dxa"/>
            <w:tcBorders/>
            <w:vAlign w:val="center"/>
          </w:tcPr>
          <w:p>
            <w:pPr>
              <w:snapToGrid w:val="0"/>
              <w:jc w:val="right"/>
            </w:pPr>
            <w:r>
              <w:rPr>
                <w:rFonts w:ascii="宋体" w:eastAsia="宋体" w:hAnsi="宋体" w:cs="宋体"/>
                <w:b w:val="0"/>
                <w:i w:val="0"/>
                <w:color w:val="000000"/>
                <w:sz w:val="20"/>
              </w:rPr>
              <w:t xml:space="preserve">12,373,341.66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2,475,382.54</w:t>
            </w:r>
          </w:p>
        </w:tc>
        <w:tc>
          <w:tcPr>
            <w:tcW w:w="1720" w:type="dxa"/>
            <w:tcBorders/>
            <w:vAlign w:val="center"/>
          </w:tcPr>
          <w:p>
            <w:pPr>
              <w:snapToGrid w:val="0"/>
              <w:jc w:val="right"/>
            </w:pPr>
            <w:r>
              <w:rPr>
                <w:rFonts w:ascii="宋体" w:eastAsia="宋体" w:hAnsi="宋体" w:cs="宋体"/>
                <w:b w:val="0"/>
                <w:i w:val="0"/>
                <w:color w:val="000000"/>
                <w:sz w:val="20"/>
              </w:rPr>
              <w:t xml:space="preserve">2,475,382.54</w:t>
            </w:r>
          </w:p>
        </w:tc>
        <w:tc>
          <w:tcPr>
            <w:tcW w:w="1720" w:type="dxa"/>
            <w:tcBorders/>
            <w:vAlign w:val="center"/>
          </w:tcPr>
          <w:p>
            <w:pPr>
              <w:snapToGrid w:val="0"/>
              <w:jc w:val="right"/>
            </w:pPr>
            <w:r>
              <w:rPr>
                <w:rFonts w:ascii="宋体" w:eastAsia="宋体" w:hAnsi="宋体" w:cs="宋体"/>
                <w:b w:val="0"/>
                <w:i w:val="0"/>
                <w:color w:val="000000"/>
                <w:sz w:val="20"/>
              </w:rPr>
              <w:t xml:space="preserve">2,475,382.54</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单位：天津市社会保险基金管理中心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264,395,843.97</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41,377,358.73</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44,411,185.00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1,213,421.25</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57,499,576.01</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30,000.00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50,760.00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44,121,024.87</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326.65</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2,480.00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308,358.99</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20,403,060.32</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4,337,789.82</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12,312,851.88</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937,676.68</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12,373,341.66</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2,962,965.52</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2,475,382.54</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8,621,588.95</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676,200.68</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587,554.62</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61,645,849.00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599,527.00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8,477,372.01</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76,827.88</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2,048,855.60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15,000.00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649,978.50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2,026,395.60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20,386.00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snapToGrid w:val="0"/>
              <w:jc w:val="right"/>
            </w:pPr>
            <w:r>
              <w:rPr>
                <w:rFonts w:ascii="宋体" w:eastAsia="宋体" w:hAnsi="宋体" w:cs="宋体"/>
                <w:b w:val="0"/>
                <w:i w:val="0"/>
                <w:color w:val="000000"/>
                <w:sz w:val="14"/>
              </w:rPr>
              <w:t xml:space="preserve">16,710.00</w:t>
            </w: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snapToGrid w:val="0"/>
              <w:jc w:val="right"/>
            </w:pPr>
            <w:r>
              <w:rPr>
                <w:rFonts w:ascii="宋体" w:eastAsia="宋体" w:hAnsi="宋体" w:cs="宋体"/>
                <w:b w:val="0"/>
                <w:i w:val="0"/>
                <w:color w:val="000000"/>
                <w:sz w:val="14"/>
              </w:rPr>
              <w:t xml:space="preserve">48,280.00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3,593,501.48</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2,019,000.00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5,750.00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679,671.32</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2,203.80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8,304,566.65</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6,417,013.62</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266,444,699.57</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41,428,118.73</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单位：天津市社会保险基金管理中心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天津市社会保险基金管理中心2024年度政府性基金预算财政拨款收入支出决算表为空表。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单位：天津市社会保险基金管理中心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天津市社会保险基金管理中心2024年国有资本经营预算财政拨款收入支出决算表为空表。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单位：天津市社会保险基金管理中心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22,589.80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2,203.80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2,203.80</w:t>
            </w:r>
          </w:p>
        </w:tc>
        <w:tc>
          <w:tcPr>
            <w:tcW w:w="2218" w:type="dxa"/>
            <w:tcBorders/>
            <w:vAlign w:val="center"/>
          </w:tcPr>
          <w:p>
            <w:pPr>
              <w:snapToGrid w:val="0"/>
              <w:jc w:val="right"/>
            </w:pPr>
            <w:r>
              <w:rPr>
                <w:rFonts w:ascii="宋体" w:eastAsia="宋体" w:hAnsi="宋体" w:cs="宋体"/>
                <w:b w:val="0"/>
                <w:i w:val="0"/>
                <w:color w:val="000000"/>
                <w:sz w:val="24"/>
              </w:rPr>
              <w:t xml:space="preserve">20,386.00</w:t>
            </w: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单位：天津市社会保险基金管理中心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31,911,925.24</w:t>
            </w:r>
          </w:p>
        </w:tc>
        <w:tc>
          <w:tcPr>
            <w:tcW w:w="1340" w:type="dxa"/>
            <w:tcBorders/>
            <w:vAlign w:val="center"/>
          </w:tcPr>
          <w:p>
            <w:pPr>
              <w:snapToGrid w:val="0"/>
              <w:jc w:val="right"/>
            </w:pPr>
            <w:r>
              <w:rPr>
                <w:rFonts w:ascii="宋体" w:eastAsia="宋体" w:hAnsi="宋体" w:cs="宋体"/>
                <w:b w:val="0"/>
                <w:i w:val="0"/>
                <w:color w:val="000000"/>
                <w:sz w:val="16"/>
              </w:rPr>
              <w:t xml:space="preserve">31,911,925.24</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31,911,925.24</w:t>
            </w:r>
          </w:p>
        </w:tc>
        <w:tc>
          <w:tcPr>
            <w:tcW w:w="1340" w:type="dxa"/>
            <w:tcBorders/>
            <w:vAlign w:val="center"/>
          </w:tcPr>
          <w:p>
            <w:pPr>
              <w:snapToGrid w:val="0"/>
              <w:jc w:val="right"/>
            </w:pPr>
            <w:r>
              <w:rPr>
                <w:rFonts w:ascii="宋体" w:eastAsia="宋体" w:hAnsi="宋体" w:cs="宋体"/>
                <w:b w:val="0"/>
                <w:i w:val="0"/>
                <w:color w:val="000000"/>
                <w:sz w:val="16"/>
              </w:rPr>
              <w:t xml:space="preserve">31,911,925.24</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w:t>
            </w:r>
          </w:p>
        </w:tc>
        <w:tc>
          <w:tcPr>
            <w:tcW w:w="4560" w:type="dxa"/>
            <w:tcBorders/>
            <w:vAlign w:val="center"/>
          </w:tcPr>
          <w:p>
            <w:pPr>
              <w:snapToGrid w:val="0"/>
              <w:jc w:val="left"/>
            </w:pPr>
            <w:r>
              <w:rPr>
                <w:rFonts w:ascii="宋体" w:eastAsia="宋体" w:hAnsi="宋体" w:cs="宋体"/>
                <w:b w:val="0"/>
                <w:i w:val="0"/>
                <w:color w:val="000000"/>
                <w:sz w:val="16"/>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6"/>
              </w:rPr>
              <w:t xml:space="preserve">31,504,881.24</w:t>
            </w:r>
          </w:p>
        </w:tc>
        <w:tc>
          <w:tcPr>
            <w:tcW w:w="1340" w:type="dxa"/>
            <w:tcBorders/>
            <w:vAlign w:val="center"/>
          </w:tcPr>
          <w:p>
            <w:pPr>
              <w:snapToGrid w:val="0"/>
              <w:jc w:val="right"/>
            </w:pPr>
            <w:r>
              <w:rPr>
                <w:rFonts w:ascii="宋体" w:eastAsia="宋体" w:hAnsi="宋体" w:cs="宋体"/>
                <w:b w:val="0"/>
                <w:i w:val="0"/>
                <w:color w:val="000000"/>
                <w:sz w:val="16"/>
              </w:rPr>
              <w:t xml:space="preserve">31,504,881.24</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2080109</w:t>
            </w:r>
          </w:p>
        </w:tc>
        <w:tc>
          <w:tcPr>
            <w:tcW w:w="4560" w:type="dxa"/>
            <w:tcBorders/>
            <w:vAlign w:val="center"/>
          </w:tcPr>
          <w:p>
            <w:pPr>
              <w:snapToGrid w:val="0"/>
              <w:jc w:val="left"/>
            </w:pPr>
            <w:r>
              <w:rPr>
                <w:rFonts w:ascii="宋体" w:eastAsia="宋体" w:hAnsi="宋体" w:cs="宋体"/>
                <w:b w:val="0"/>
                <w:i w:val="0"/>
                <w:color w:val="000000"/>
                <w:sz w:val="16"/>
              </w:rPr>
              <w:t xml:space="preserve">社会保险经办机构</w:t>
            </w:r>
          </w:p>
        </w:tc>
        <w:tc>
          <w:tcPr>
            <w:tcW w:w="1240" w:type="dxa"/>
            <w:tcBorders/>
            <w:vAlign w:val="center"/>
          </w:tcPr>
          <w:p>
            <w:pPr>
              <w:snapToGrid w:val="0"/>
              <w:jc w:val="right"/>
            </w:pPr>
            <w:r>
              <w:rPr>
                <w:rFonts w:ascii="宋体" w:eastAsia="宋体" w:hAnsi="宋体" w:cs="宋体"/>
                <w:b w:val="0"/>
                <w:i w:val="0"/>
                <w:color w:val="000000"/>
                <w:sz w:val="16"/>
              </w:rPr>
              <w:t xml:space="preserve">31,504,881.24</w:t>
            </w:r>
          </w:p>
        </w:tc>
        <w:tc>
          <w:tcPr>
            <w:tcW w:w="1340" w:type="dxa"/>
            <w:tcBorders/>
            <w:vAlign w:val="center"/>
          </w:tcPr>
          <w:p>
            <w:pPr>
              <w:snapToGrid w:val="0"/>
              <w:jc w:val="right"/>
            </w:pPr>
            <w:r>
              <w:rPr>
                <w:rFonts w:ascii="宋体" w:eastAsia="宋体" w:hAnsi="宋体" w:cs="宋体"/>
                <w:b w:val="0"/>
                <w:i w:val="0"/>
                <w:color w:val="000000"/>
                <w:sz w:val="16"/>
              </w:rPr>
              <w:t xml:space="preserve">31,504,881.24</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2080109</w:t>
            </w:r>
          </w:p>
        </w:tc>
        <w:tc>
          <w:tcPr>
            <w:tcW w:w="4560" w:type="dxa"/>
            <w:tcBorders/>
            <w:vAlign w:val="center"/>
          </w:tcPr>
          <w:p>
            <w:pPr>
              <w:snapToGrid w:val="0"/>
              <w:jc w:val="left"/>
            </w:pPr>
            <w:r>
              <w:rPr>
                <w:rFonts w:ascii="宋体" w:eastAsia="宋体" w:hAnsi="宋体" w:cs="宋体"/>
                <w:b w:val="0"/>
                <w:i w:val="0"/>
                <w:color w:val="000000"/>
                <w:sz w:val="16"/>
              </w:rPr>
              <w:t xml:space="preserve">社保中心信息系统运维安全服务经费</w:t>
            </w:r>
          </w:p>
        </w:tc>
        <w:tc>
          <w:tcPr>
            <w:tcW w:w="1240" w:type="dxa"/>
            <w:tcBorders/>
            <w:vAlign w:val="center"/>
          </w:tcPr>
          <w:p>
            <w:pPr>
              <w:snapToGrid w:val="0"/>
              <w:jc w:val="right"/>
            </w:pPr>
            <w:r>
              <w:rPr>
                <w:rFonts w:ascii="宋体" w:eastAsia="宋体" w:hAnsi="宋体" w:cs="宋体"/>
                <w:b w:val="0"/>
                <w:i w:val="0"/>
                <w:color w:val="000000"/>
                <w:sz w:val="16"/>
              </w:rPr>
              <w:t xml:space="preserve">7,239,977.90</w:t>
            </w:r>
          </w:p>
        </w:tc>
        <w:tc>
          <w:tcPr>
            <w:tcW w:w="1340" w:type="dxa"/>
            <w:tcBorders/>
            <w:vAlign w:val="center"/>
          </w:tcPr>
          <w:p>
            <w:pPr>
              <w:snapToGrid w:val="0"/>
              <w:jc w:val="right"/>
            </w:pPr>
            <w:r>
              <w:rPr>
                <w:rFonts w:ascii="宋体" w:eastAsia="宋体" w:hAnsi="宋体" w:cs="宋体"/>
                <w:b w:val="0"/>
                <w:i w:val="0"/>
                <w:color w:val="000000"/>
                <w:sz w:val="16"/>
              </w:rPr>
              <w:t xml:space="preserve">7,239,977.90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2080109</w:t>
            </w:r>
          </w:p>
        </w:tc>
        <w:tc>
          <w:tcPr>
            <w:tcW w:w="4560" w:type="dxa"/>
            <w:tcBorders/>
            <w:vAlign w:val="center"/>
          </w:tcPr>
          <w:p>
            <w:pPr>
              <w:snapToGrid w:val="0"/>
              <w:jc w:val="left"/>
            </w:pPr>
            <w:r>
              <w:rPr>
                <w:rFonts w:ascii="宋体" w:eastAsia="宋体" w:hAnsi="宋体" w:cs="宋体"/>
                <w:b w:val="0"/>
                <w:i w:val="0"/>
                <w:color w:val="000000"/>
                <w:sz w:val="16"/>
              </w:rPr>
              <w:t xml:space="preserve">社保经办大厅运转经费</w:t>
            </w:r>
          </w:p>
        </w:tc>
        <w:tc>
          <w:tcPr>
            <w:tcW w:w="1240" w:type="dxa"/>
            <w:tcBorders/>
            <w:vAlign w:val="center"/>
          </w:tcPr>
          <w:p>
            <w:pPr>
              <w:snapToGrid w:val="0"/>
              <w:jc w:val="right"/>
            </w:pPr>
            <w:r>
              <w:rPr>
                <w:rFonts w:ascii="宋体" w:eastAsia="宋体" w:hAnsi="宋体" w:cs="宋体"/>
                <w:b w:val="0"/>
                <w:i w:val="0"/>
                <w:color w:val="000000"/>
                <w:sz w:val="16"/>
              </w:rPr>
              <w:t xml:space="preserve">13,240,000.00</w:t>
            </w:r>
          </w:p>
        </w:tc>
        <w:tc>
          <w:tcPr>
            <w:tcW w:w="1340" w:type="dxa"/>
            <w:tcBorders/>
            <w:vAlign w:val="center"/>
          </w:tcPr>
          <w:p>
            <w:pPr>
              <w:snapToGrid w:val="0"/>
              <w:jc w:val="right"/>
            </w:pPr>
            <w:r>
              <w:rPr>
                <w:rFonts w:ascii="宋体" w:eastAsia="宋体" w:hAnsi="宋体" w:cs="宋体"/>
                <w:b w:val="0"/>
                <w:i w:val="0"/>
                <w:color w:val="000000"/>
                <w:sz w:val="16"/>
              </w:rPr>
              <w:t xml:space="preserve">13,240,000.00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2080109</w:t>
            </w:r>
          </w:p>
        </w:tc>
        <w:tc>
          <w:tcPr>
            <w:tcW w:w="4560" w:type="dxa"/>
            <w:tcBorders/>
            <w:vAlign w:val="center"/>
          </w:tcPr>
          <w:p>
            <w:pPr>
              <w:snapToGrid w:val="0"/>
              <w:jc w:val="left"/>
            </w:pPr>
            <w:r>
              <w:rPr>
                <w:rFonts w:ascii="宋体" w:eastAsia="宋体" w:hAnsi="宋体" w:cs="宋体"/>
                <w:b w:val="0"/>
                <w:i w:val="0"/>
                <w:color w:val="000000"/>
                <w:sz w:val="16"/>
              </w:rPr>
              <w:t xml:space="preserve">社保业务经办经费</w:t>
            </w:r>
          </w:p>
        </w:tc>
        <w:tc>
          <w:tcPr>
            <w:tcW w:w="1240" w:type="dxa"/>
            <w:tcBorders/>
            <w:vAlign w:val="center"/>
          </w:tcPr>
          <w:p>
            <w:pPr>
              <w:snapToGrid w:val="0"/>
              <w:jc w:val="right"/>
            </w:pPr>
            <w:r>
              <w:rPr>
                <w:rFonts w:ascii="宋体" w:eastAsia="宋体" w:hAnsi="宋体" w:cs="宋体"/>
                <w:b w:val="0"/>
                <w:i w:val="0"/>
                <w:color w:val="000000"/>
                <w:sz w:val="16"/>
              </w:rPr>
              <w:t xml:space="preserve">5,434,913.79</w:t>
            </w:r>
          </w:p>
        </w:tc>
        <w:tc>
          <w:tcPr>
            <w:tcW w:w="1340" w:type="dxa"/>
            <w:tcBorders/>
            <w:vAlign w:val="center"/>
          </w:tcPr>
          <w:p>
            <w:pPr>
              <w:snapToGrid w:val="0"/>
              <w:jc w:val="right"/>
            </w:pPr>
            <w:r>
              <w:rPr>
                <w:rFonts w:ascii="宋体" w:eastAsia="宋体" w:hAnsi="宋体" w:cs="宋体"/>
                <w:b w:val="0"/>
                <w:i w:val="0"/>
                <w:color w:val="000000"/>
                <w:sz w:val="16"/>
              </w:rPr>
              <w:t xml:space="preserve">5,434,913.79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2080109</w:t>
            </w:r>
          </w:p>
        </w:tc>
        <w:tc>
          <w:tcPr>
            <w:tcW w:w="4560" w:type="dxa"/>
            <w:tcBorders/>
            <w:vAlign w:val="center"/>
          </w:tcPr>
          <w:p>
            <w:pPr>
              <w:snapToGrid w:val="0"/>
              <w:jc w:val="left"/>
            </w:pPr>
            <w:r>
              <w:rPr>
                <w:rFonts w:ascii="宋体" w:eastAsia="宋体" w:hAnsi="宋体" w:cs="宋体"/>
                <w:b w:val="0"/>
                <w:i w:val="0"/>
                <w:color w:val="000000"/>
                <w:sz w:val="16"/>
              </w:rPr>
              <w:t xml:space="preserve">社保卡制卡工本费</w:t>
            </w:r>
          </w:p>
        </w:tc>
        <w:tc>
          <w:tcPr>
            <w:tcW w:w="1240" w:type="dxa"/>
            <w:tcBorders/>
            <w:vAlign w:val="center"/>
          </w:tcPr>
          <w:p>
            <w:pPr>
              <w:snapToGrid w:val="0"/>
              <w:jc w:val="right"/>
            </w:pPr>
            <w:r>
              <w:rPr>
                <w:rFonts w:ascii="宋体" w:eastAsia="宋体" w:hAnsi="宋体" w:cs="宋体"/>
                <w:b w:val="0"/>
                <w:i w:val="0"/>
                <w:color w:val="000000"/>
                <w:sz w:val="16"/>
              </w:rPr>
              <w:t xml:space="preserve">5,589,989.55</w:t>
            </w:r>
          </w:p>
        </w:tc>
        <w:tc>
          <w:tcPr>
            <w:tcW w:w="1340" w:type="dxa"/>
            <w:tcBorders/>
            <w:vAlign w:val="center"/>
          </w:tcPr>
          <w:p>
            <w:pPr>
              <w:snapToGrid w:val="0"/>
              <w:jc w:val="right"/>
            </w:pPr>
            <w:r>
              <w:rPr>
                <w:rFonts w:ascii="宋体" w:eastAsia="宋体" w:hAnsi="宋体" w:cs="宋体"/>
                <w:b w:val="0"/>
                <w:i w:val="0"/>
                <w:color w:val="000000"/>
                <w:sz w:val="16"/>
              </w:rPr>
              <w:t xml:space="preserve">5,589,989.55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20899</w:t>
            </w:r>
          </w:p>
        </w:tc>
        <w:tc>
          <w:tcPr>
            <w:tcW w:w="4560" w:type="dxa"/>
            <w:tcBorders/>
            <w:vAlign w:val="center"/>
          </w:tcPr>
          <w:p>
            <w:pPr>
              <w:snapToGrid w:val="0"/>
              <w:jc w:val="left"/>
            </w:pPr>
            <w:r>
              <w:rPr>
                <w:rFonts w:ascii="宋体" w:eastAsia="宋体" w:hAnsi="宋体" w:cs="宋体"/>
                <w:b w:val="0"/>
                <w:i w:val="0"/>
                <w:color w:val="000000"/>
                <w:sz w:val="16"/>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407,044.00</w:t>
            </w:r>
          </w:p>
        </w:tc>
        <w:tc>
          <w:tcPr>
            <w:tcW w:w="1340" w:type="dxa"/>
            <w:tcBorders/>
            <w:vAlign w:val="center"/>
          </w:tcPr>
          <w:p>
            <w:pPr>
              <w:snapToGrid w:val="0"/>
              <w:jc w:val="right"/>
            </w:pPr>
            <w:r>
              <w:rPr>
                <w:rFonts w:ascii="宋体" w:eastAsia="宋体" w:hAnsi="宋体" w:cs="宋体"/>
                <w:b w:val="0"/>
                <w:i w:val="0"/>
                <w:color w:val="000000"/>
                <w:sz w:val="16"/>
              </w:rPr>
              <w:t xml:space="preserve">407,044.00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2089999</w:t>
            </w:r>
          </w:p>
        </w:tc>
        <w:tc>
          <w:tcPr>
            <w:tcW w:w="4560" w:type="dxa"/>
            <w:tcBorders/>
            <w:vAlign w:val="center"/>
          </w:tcPr>
          <w:p>
            <w:pPr>
              <w:snapToGrid w:val="0"/>
              <w:jc w:val="left"/>
            </w:pPr>
            <w:r>
              <w:rPr>
                <w:rFonts w:ascii="宋体" w:eastAsia="宋体" w:hAnsi="宋体" w:cs="宋体"/>
                <w:b w:val="0"/>
                <w:i w:val="0"/>
                <w:color w:val="000000"/>
                <w:sz w:val="16"/>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407,044.00</w:t>
            </w:r>
          </w:p>
        </w:tc>
        <w:tc>
          <w:tcPr>
            <w:tcW w:w="1340" w:type="dxa"/>
            <w:tcBorders/>
            <w:vAlign w:val="center"/>
          </w:tcPr>
          <w:p>
            <w:pPr>
              <w:snapToGrid w:val="0"/>
              <w:jc w:val="right"/>
            </w:pPr>
            <w:r>
              <w:rPr>
                <w:rFonts w:ascii="宋体" w:eastAsia="宋体" w:hAnsi="宋体" w:cs="宋体"/>
                <w:b w:val="0"/>
                <w:i w:val="0"/>
                <w:color w:val="000000"/>
                <w:sz w:val="16"/>
              </w:rPr>
              <w:t xml:space="preserve">407,044.00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2089999</w:t>
            </w:r>
          </w:p>
        </w:tc>
        <w:tc>
          <w:tcPr>
            <w:tcW w:w="4560" w:type="dxa"/>
            <w:tcBorders/>
            <w:vAlign w:val="center"/>
          </w:tcPr>
          <w:p>
            <w:pPr>
              <w:snapToGrid w:val="0"/>
              <w:jc w:val="left"/>
            </w:pPr>
            <w:r>
              <w:rPr>
                <w:rFonts w:ascii="宋体" w:eastAsia="宋体" w:hAnsi="宋体" w:cs="宋体"/>
                <w:b w:val="0"/>
                <w:i w:val="0"/>
                <w:color w:val="000000"/>
                <w:sz w:val="16"/>
              </w:rPr>
              <w:t xml:space="preserve">抚恤金</w:t>
            </w:r>
          </w:p>
        </w:tc>
        <w:tc>
          <w:tcPr>
            <w:tcW w:w="1240" w:type="dxa"/>
            <w:tcBorders/>
            <w:vAlign w:val="center"/>
          </w:tcPr>
          <w:p>
            <w:pPr>
              <w:snapToGrid w:val="0"/>
              <w:jc w:val="right"/>
            </w:pPr>
            <w:r>
              <w:rPr>
                <w:rFonts w:ascii="宋体" w:eastAsia="宋体" w:hAnsi="宋体" w:cs="宋体"/>
                <w:b w:val="0"/>
                <w:i w:val="0"/>
                <w:color w:val="000000"/>
                <w:sz w:val="16"/>
              </w:rPr>
              <w:t xml:space="preserve">241,122.00</w:t>
            </w:r>
          </w:p>
        </w:tc>
        <w:tc>
          <w:tcPr>
            <w:tcW w:w="1340" w:type="dxa"/>
            <w:tcBorders/>
            <w:vAlign w:val="center"/>
          </w:tcPr>
          <w:p>
            <w:pPr>
              <w:snapToGrid w:val="0"/>
              <w:jc w:val="right"/>
            </w:pPr>
            <w:r>
              <w:rPr>
                <w:rFonts w:ascii="宋体" w:eastAsia="宋体" w:hAnsi="宋体" w:cs="宋体"/>
                <w:b w:val="0"/>
                <w:i w:val="0"/>
                <w:color w:val="000000"/>
                <w:sz w:val="16"/>
              </w:rPr>
              <w:t xml:space="preserve">241,122.00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2089999</w:t>
            </w:r>
          </w:p>
        </w:tc>
        <w:tc>
          <w:tcPr>
            <w:tcW w:w="4560" w:type="dxa"/>
            <w:tcBorders/>
            <w:vAlign w:val="center"/>
          </w:tcPr>
          <w:p>
            <w:pPr>
              <w:snapToGrid w:val="0"/>
              <w:jc w:val="left"/>
            </w:pPr>
            <w:r>
              <w:rPr>
                <w:rFonts w:ascii="宋体" w:eastAsia="宋体" w:hAnsi="宋体" w:cs="宋体"/>
                <w:b w:val="0"/>
                <w:i w:val="0"/>
                <w:color w:val="000000"/>
                <w:sz w:val="16"/>
              </w:rPr>
              <w:t xml:space="preserve">抚恤金</w:t>
            </w:r>
          </w:p>
        </w:tc>
        <w:tc>
          <w:tcPr>
            <w:tcW w:w="1240" w:type="dxa"/>
            <w:tcBorders/>
            <w:vAlign w:val="center"/>
          </w:tcPr>
          <w:p>
            <w:pPr>
              <w:snapToGrid w:val="0"/>
              <w:jc w:val="right"/>
            </w:pPr>
            <w:r>
              <w:rPr>
                <w:rFonts w:ascii="宋体" w:eastAsia="宋体" w:hAnsi="宋体" w:cs="宋体"/>
                <w:b w:val="0"/>
                <w:i w:val="0"/>
                <w:color w:val="000000"/>
                <w:sz w:val="16"/>
              </w:rPr>
              <w:t xml:space="preserve">165,922.00</w:t>
            </w:r>
          </w:p>
        </w:tc>
        <w:tc>
          <w:tcPr>
            <w:tcW w:w="1340" w:type="dxa"/>
            <w:tcBorders/>
            <w:vAlign w:val="center"/>
          </w:tcPr>
          <w:p>
            <w:pPr>
              <w:snapToGrid w:val="0"/>
              <w:jc w:val="right"/>
            </w:pPr>
            <w:r>
              <w:rPr>
                <w:rFonts w:ascii="宋体" w:eastAsia="宋体" w:hAnsi="宋体" w:cs="宋体"/>
                <w:b w:val="0"/>
                <w:i w:val="0"/>
                <w:color w:val="000000"/>
                <w:sz w:val="16"/>
              </w:rPr>
              <w:t xml:space="preserve">165,922.00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天津市社会保险基金管理中心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339,786,660.85</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减少28,776,719,572.74元，下降98.833%</w:t>
      </w:r>
      <w:r>
        <w:rPr>
          <w:rFonts w:eastAsia="仿宋_GB2312" w:hint="eastAsia"/>
          <w:sz w:val="30"/>
          <w:szCs w:val="30"/>
        </w:rPr>
        <w:t xml:space="preserve">，主要原因是</w:t>
      </w:r>
      <w:r>
        <w:rPr>
          <w:rFonts w:eastAsia="仿宋_GB2312" w:hint="eastAsia"/>
          <w:sz w:val="30"/>
          <w:szCs w:val="30"/>
        </w:rPr>
        <w:t xml:space="preserve">2024年度减少财政对养老保险基金的补助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一般公共预算财政拨款收入339,784,743.54元、其他收入1,917.31元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社会保障和就业支出324,936,019.34元、卫生健康支出14,848,724.20元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天津市社会保险基金管理中心</w:t>
      </w:r>
      <w:r>
        <w:rPr>
          <w:rFonts w:eastAsia="仿宋_GB2312" w:hint="eastAsia"/>
          <w:sz w:val="30"/>
          <w:szCs w:val="30"/>
        </w:rPr>
        <w:t xml:space="preserve">2024年度本年收入合计</w:t>
      </w:r>
      <w:r>
        <w:rPr>
          <w:rFonts w:eastAsia="仿宋_GB2312" w:hint="eastAsia"/>
          <w:sz w:val="30"/>
          <w:szCs w:val="30"/>
        </w:rPr>
        <w:t xml:space="preserve">339,786,660.85</w:t>
      </w:r>
      <w:r>
        <w:rPr>
          <w:rFonts w:eastAsia="仿宋_GB2312" w:hint="eastAsia"/>
          <w:sz w:val="30"/>
          <w:szCs w:val="30"/>
        </w:rPr>
        <w:t xml:space="preserve">元，与2023年度相比</w:t>
      </w:r>
      <w:r>
        <w:rPr>
          <w:rFonts w:eastAsia="仿宋_GB2312" w:hint="eastAsia"/>
          <w:sz w:val="30"/>
          <w:szCs w:val="30"/>
        </w:rPr>
        <w:t xml:space="preserve">减少28,776,712,928.31元，</w:t>
      </w:r>
      <w:r>
        <w:rPr>
          <w:rFonts w:eastAsia="仿宋_GB2312" w:hint="eastAsia"/>
          <w:sz w:val="30"/>
          <w:szCs w:val="30"/>
        </w:rPr>
        <w:t xml:space="preserve">主要原因是</w:t>
      </w:r>
      <w:r>
        <w:rPr>
          <w:rFonts w:eastAsia="仿宋_GB2312" w:hint="eastAsia"/>
          <w:sz w:val="30"/>
          <w:szCs w:val="30"/>
        </w:rPr>
        <w:t xml:space="preserve">2024年度减少财政对养老保险基金的补助</w:t>
      </w:r>
      <w:r>
        <w:rPr>
          <w:rFonts w:eastAsia="仿宋_GB2312" w:hint="eastAsia"/>
          <w:sz w:val="30"/>
          <w:szCs w:val="30"/>
        </w:rPr>
        <w:t xml:space="preserve">。其中：</w:t>
      </w:r>
      <w:r>
        <w:rPr>
          <w:rFonts w:eastAsia="仿宋_GB2312" w:hint="eastAsia"/>
          <w:sz w:val="30"/>
          <w:szCs w:val="30"/>
        </w:rPr>
        <w:t xml:space="preserve">一般公共预算财政拨款收入339,784,743.54元，占99.999%；其他收入1,917.31元，占0.001%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天津市社会保险基金管理中心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339,784,743.54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减少28,776,714,275.81元，</w:t>
      </w:r>
      <w:r>
        <w:rPr>
          <w:rFonts w:eastAsia="仿宋_GB2312" w:hint="eastAsia"/>
          <w:sz w:val="30"/>
          <w:szCs w:val="30"/>
        </w:rPr>
        <w:t xml:space="preserve">主要原因是</w:t>
      </w:r>
      <w:r>
        <w:rPr>
          <w:rFonts w:eastAsia="仿宋_GB2312" w:hint="eastAsia"/>
          <w:sz w:val="30"/>
          <w:szCs w:val="30"/>
        </w:rPr>
        <w:t xml:space="preserve">2024年度减少财政对养老保险基金的补助</w:t>
      </w:r>
      <w:r>
        <w:rPr>
          <w:rFonts w:eastAsia="仿宋_GB2312" w:hint="eastAsia"/>
          <w:sz w:val="30"/>
          <w:szCs w:val="30"/>
        </w:rPr>
        <w:t xml:space="preserve">。其中：</w:t>
      </w:r>
      <w:r>
        <w:rPr>
          <w:rFonts w:eastAsia="仿宋_GB2312" w:hint="eastAsia"/>
          <w:sz w:val="30"/>
          <w:szCs w:val="30"/>
        </w:rPr>
        <w:t xml:space="preserve">基本支出307,872,818.30元，占90.608%；项目支出31,911,925.24元，占9.392%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天津市社会保险基金管理中心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339,784,743.54</w:t>
      </w:r>
      <w:r>
        <w:rPr>
          <w:rFonts w:eastAsia="仿宋_GB2312" w:hint="eastAsia"/>
          <w:sz w:val="30"/>
          <w:szCs w:val="30"/>
        </w:rPr>
        <w:t xml:space="preserve">元。与2023年度相比，财政拨款收、支总计各</w:t>
      </w:r>
      <w:r>
        <w:rPr>
          <w:rFonts w:eastAsia="仿宋_GB2312" w:hint="eastAsia"/>
          <w:sz w:val="30"/>
          <w:szCs w:val="30"/>
        </w:rPr>
        <w:t xml:space="preserve">减少28,776,719,325.27元，下降98.833%，</w:t>
      </w:r>
      <w:r>
        <w:rPr>
          <w:rFonts w:eastAsia="仿宋_GB2312" w:hint="eastAsia"/>
          <w:sz w:val="30"/>
          <w:szCs w:val="30"/>
        </w:rPr>
        <w:t xml:space="preserve">主要原因是</w:t>
      </w:r>
      <w:r>
        <w:rPr>
          <w:rFonts w:eastAsia="仿宋_GB2312" w:hint="eastAsia"/>
          <w:sz w:val="30"/>
          <w:szCs w:val="30"/>
        </w:rPr>
        <w:t xml:space="preserve">2024年度减少财政对养老保险基金的补助</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一般公共预算财政拨款339,784,743.54元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社会保障和就业支出324,936,019.34元、卫生健康支出14,848,724.20元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天津市社会保险基金管理中心2024年度部门决算一般公共预算财政拨款支出合计339,784,743.54元，占本年支出合计的100.000%。与2023年度相比，一般公共预算财政拨款支出</w:t>
      </w:r>
      <w:r>
        <w:rPr>
          <w:rFonts w:eastAsia="仿宋_GB2312" w:hint="eastAsia"/>
          <w:sz w:val="30"/>
          <w:szCs w:val="30"/>
        </w:rPr>
        <w:t xml:space="preserve">减少28,776,712,680.84元</w:t>
      </w:r>
      <w:r>
        <w:rPr>
          <w:rFonts w:eastAsia="仿宋_GB2312" w:hint="eastAsia"/>
          <w:sz w:val="30"/>
          <w:szCs w:val="30"/>
        </w:rPr>
        <w:t xml:space="preserve">，下降98.833%</w:t>
      </w:r>
      <w:r>
        <w:rPr>
          <w:rFonts w:eastAsia="仿宋_GB2312" w:hint="eastAsia"/>
          <w:sz w:val="30"/>
          <w:szCs w:val="30"/>
        </w:rPr>
        <w:t xml:space="preserve">，主要原因是2024年度减少财政对养老保险基金的补助。</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2024年度一般公共预算财政拨款支出339,784,743.54元，主要用于以下方面：</w:t>
      </w:r>
      <w:r>
        <w:rPr>
          <w:rFonts w:eastAsia="仿宋_GB2312" w:hint="eastAsia"/>
          <w:sz w:val="30"/>
          <w:szCs w:val="30"/>
        </w:rPr>
        <w:t xml:space="preserve">社会保障和就业支出（类）支出324,936,019.34元，占95.630%,卫生健康支出（类）支出14,848,724.20元，占4.370%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2024年度一般公共预算财政拨款支出年初预算为330,313,000.00元，支出决算为339,784,743.54元</w:t>
      </w:r>
      <w:r>
        <w:rPr>
          <w:rFonts w:eastAsia="仿宋_GB2312" w:hint="eastAsia"/>
          <w:sz w:val="30"/>
          <w:szCs w:val="30"/>
        </w:rPr>
        <w:t xml:space="preserve">，完成年初预算的102.868%</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人力资源和社会保障管理事务（款）行政运行（项）年初预算为253,088,000.00元，支出决算为260,308,181.90元，完成年初预算的102.853%，决算数大于预算数的主要原因是：2024年度内人员增减动态调整增加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人力资源和社会保障管理事务（款）社会保险经办机构（项）年初预算为31,505,000.00元，支出决算为31,504,881.24元，完成年初预算的100.000%，决算数小于预算数的主要原因是：2024年各项支出按照合同约定支付，年末结余财政收回。</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20,320,000.00元，支出决算为20,403,060.32元，完成年初预算的100.409%，决算数大于预算数的主要原因是：2024年度内人员增减动态调整增加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10,160,000.00元，支出决算为12,312,851.88元，完成年初预算的121.189%，决算数大于预算数的主要原因是：2024年按照政策规定为办理正式调动或辞职、辞退手续离开机关事业单位人员补记职业年金 。</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5.社会保障和就业支出（类）其他社会保障和就业支出（款）其他社会保障和就业支出（项）年初预算为0.00元，支出决算为407,044.00元，决算数大于预算数的主要原因是：年中追加抚恤金。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行政单位医疗（项）年初预算为12,700,000.00元，支出决算为12,373,341.66元，完成年初预算的97.428%，决算数小于预算数的主要原因是：2024年度内人员增减动态调整减少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公务员医疗补助（项）年初预算为2,540,000.00元，支出决算为2,475,382.54元，完成年初预算的97.456%，决算数小于预算数的主要原因是：2024年度内人员增减动态调整减少经费支出。</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天津市社会保险基金管理中心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307,872,818.30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减少1,433,922.08元，</w:t>
      </w:r>
      <w:r>
        <w:rPr>
          <w:rFonts w:eastAsia="仿宋_GB2312" w:hint="eastAsia"/>
          <w:sz w:val="30"/>
          <w:szCs w:val="30"/>
        </w:rPr>
        <w:t xml:space="preserve">主要原因是</w:t>
      </w:r>
      <w:r>
        <w:rPr>
          <w:rFonts w:eastAsia="仿宋_GB2312" w:hint="eastAsia"/>
          <w:sz w:val="30"/>
          <w:szCs w:val="30"/>
        </w:rPr>
        <w:t xml:space="preserve">落实过紧日子要求，压减办公费、差旅费、维修费等公用经费支出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人员经费266,444,699.57元，主要包括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基本工资、津贴补贴、奖金、机关事业单位基本养老保险缴费、职业年金缴费、职工基本医疗保险缴费、公务员医疗补助缴费、其他社会保障缴费、住房公积金、其他工资福利支出、退休费、抚恤金、奖励金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公用经费41,428,118.73元，主要包括</w:t>
      </w:r>
      <w:r>
        <w:rPr>
          <w:rFonts w:eastAsia="仿宋_GB2312" w:hint="eastAsia"/>
          <w:sz w:val="30"/>
          <w:szCs w:val="30"/>
        </w:rPr>
        <w:t xml:space="preserve">办公费、印刷费、手续费、水费、电费、邮电费、取暖费、物业管理费、差旅费、维修（护）费、租赁费、会议费、培训费、公务接待费、劳务费、工会经费、福利费、公务用车运行维护费、其他交通费用、其他商品和服务支出、办公设备购置、其他资本性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天津市社会保险基金管理中心2024年度无政府性基金预算财政拨款收入、支出和结转结余。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天津市社会保险基金管理中心2024年度无国有资本经营预算财政拨款收入、支出和结转结余。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31,000.00</w:t>
      </w:r>
      <w:r>
        <w:rPr>
          <w:rFonts w:eastAsia="仿宋_GB2312" w:hint="eastAsia"/>
          <w:sz w:val="30"/>
          <w:szCs w:val="30"/>
        </w:rPr>
        <w:t xml:space="preserve">元，支出决算</w:t>
      </w:r>
      <w:r>
        <w:rPr>
          <w:rFonts w:eastAsia="仿宋_GB2312" w:hint="eastAsia"/>
          <w:sz w:val="30"/>
          <w:szCs w:val="30"/>
        </w:rPr>
        <w:t xml:space="preserve">22,589.80</w:t>
      </w:r>
      <w:r>
        <w:rPr>
          <w:rFonts w:eastAsia="仿宋_GB2312" w:hint="eastAsia"/>
          <w:sz w:val="30"/>
          <w:szCs w:val="30"/>
        </w:rPr>
        <w:t xml:space="preserve">元，与2024年预算相比</w:t>
      </w:r>
      <w:r>
        <w:rPr>
          <w:rFonts w:eastAsia="仿宋_GB2312" w:hint="eastAsia"/>
          <w:sz w:val="30"/>
          <w:szCs w:val="30"/>
        </w:rPr>
        <w:t xml:space="preserve">减少8,410.20元</w:t>
      </w:r>
      <w:r>
        <w:rPr>
          <w:rFonts w:eastAsia="仿宋_GB2312" w:hint="eastAsia"/>
          <w:sz w:val="30"/>
          <w:szCs w:val="30"/>
        </w:rPr>
        <w:t xml:space="preserve">，完成预算的72.870%</w:t>
      </w:r>
      <w:r>
        <w:rPr>
          <w:rFonts w:eastAsia="仿宋_GB2312" w:hint="eastAsia"/>
          <w:sz w:val="30"/>
          <w:szCs w:val="30"/>
        </w:rPr>
        <w:t xml:space="preserve">；</w:t>
      </w:r>
      <w:r>
        <w:rPr>
          <w:rFonts w:eastAsia="仿宋_GB2312" w:hint="eastAsia"/>
          <w:sz w:val="30"/>
          <w:szCs w:val="30"/>
        </w:rPr>
        <w:t xml:space="preserve">支出决算较上年增加4,382.49元</w:t>
      </w:r>
      <w:r>
        <w:rPr>
          <w:rFonts w:eastAsia="仿宋_GB2312" w:hint="eastAsia"/>
          <w:sz w:val="30"/>
          <w:szCs w:val="30"/>
        </w:rPr>
        <w:t xml:space="preserve">，增长24.070%</w:t>
      </w:r>
      <w:r>
        <w:rPr>
          <w:rFonts w:eastAsia="仿宋_GB2312" w:hint="eastAsia"/>
          <w:sz w:val="30"/>
          <w:szCs w:val="30"/>
        </w:rPr>
        <w:t xml:space="preserve">。</w:t>
      </w:r>
      <w:r>
        <w:rPr>
          <w:rFonts w:eastAsia="仿宋_GB2312" w:hint="eastAsia"/>
          <w:sz w:val="30"/>
          <w:szCs w:val="30"/>
        </w:rPr>
        <w:t xml:space="preserve">决算数小于预算数的主要原因是落实过紧日子要求，严控公务接待支出及公务用车出行费用；</w:t>
      </w:r>
      <w:r>
        <w:rPr>
          <w:rFonts w:eastAsia="仿宋_GB2312" w:hint="eastAsia"/>
          <w:sz w:val="30"/>
          <w:szCs w:val="30"/>
        </w:rPr>
        <w:t xml:space="preserve">决算数较上年增加的主要原因是按照中心统一工作安排，2024年度公务接待次数和公务用车出行费用较上年有所增加。</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决算数与预算数持平的主要原因是本年度未使用财政拨款经费列支因公出国（境）费；</w:t>
      </w:r>
      <w:r>
        <w:rPr>
          <w:rFonts w:eastAsia="仿宋_GB2312" w:hint="eastAsia"/>
          <w:sz w:val="30"/>
          <w:szCs w:val="30"/>
        </w:rPr>
        <w:t xml:space="preserve">决算数较上年持平的主要原因是本年度与上年度均未使用财政拨款经费列支因公出国（境）费。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5,000.00</w:t>
      </w:r>
      <w:r>
        <w:rPr>
          <w:rFonts w:eastAsia="仿宋_GB2312" w:hint="eastAsia"/>
          <w:sz w:val="30"/>
          <w:szCs w:val="30"/>
        </w:rPr>
        <w:t xml:space="preserve">元，支出决算</w:t>
      </w:r>
      <w:r>
        <w:rPr>
          <w:rFonts w:eastAsia="仿宋_GB2312" w:hint="eastAsia"/>
          <w:sz w:val="30"/>
          <w:szCs w:val="30"/>
        </w:rPr>
        <w:t xml:space="preserve">2,203.80</w:t>
      </w:r>
      <w:r>
        <w:rPr>
          <w:rFonts w:eastAsia="仿宋_GB2312" w:hint="eastAsia"/>
          <w:sz w:val="30"/>
          <w:szCs w:val="30"/>
        </w:rPr>
        <w:t xml:space="preserve">元，与预算相比</w:t>
      </w:r>
      <w:r>
        <w:rPr>
          <w:rFonts w:eastAsia="仿宋_GB2312" w:hint="eastAsia"/>
          <w:sz w:val="30"/>
          <w:szCs w:val="30"/>
        </w:rPr>
        <w:t xml:space="preserve">减少2,796.20元</w:t>
      </w:r>
      <w:r>
        <w:rPr>
          <w:rFonts w:eastAsia="仿宋_GB2312" w:hint="eastAsia"/>
          <w:sz w:val="30"/>
          <w:szCs w:val="30"/>
        </w:rPr>
        <w:t xml:space="preserve">，完成预算的44.076%</w:t>
      </w:r>
      <w:r>
        <w:rPr>
          <w:rFonts w:eastAsia="仿宋_GB2312" w:hint="eastAsia"/>
          <w:sz w:val="30"/>
          <w:szCs w:val="30"/>
        </w:rPr>
        <w:t xml:space="preserve">；</w:t>
      </w:r>
      <w:r>
        <w:rPr>
          <w:rFonts w:eastAsia="仿宋_GB2312" w:hint="eastAsia"/>
          <w:sz w:val="30"/>
          <w:szCs w:val="30"/>
        </w:rPr>
        <w:t xml:space="preserve">支出决算较上年增加66.49元</w:t>
      </w:r>
      <w:r>
        <w:rPr>
          <w:rFonts w:eastAsia="仿宋_GB2312" w:hint="eastAsia"/>
          <w:sz w:val="30"/>
          <w:szCs w:val="30"/>
        </w:rPr>
        <w:t xml:space="preserve">，增长3.111%</w:t>
      </w:r>
      <w:r>
        <w:rPr>
          <w:rFonts w:eastAsia="仿宋_GB2312" w:hint="eastAsia"/>
          <w:sz w:val="30"/>
          <w:szCs w:val="30"/>
        </w:rPr>
        <w:t xml:space="preserve">。</w:t>
      </w:r>
      <w:r>
        <w:rPr>
          <w:rFonts w:eastAsia="仿宋_GB2312" w:hint="eastAsia"/>
          <w:sz w:val="30"/>
          <w:szCs w:val="30"/>
        </w:rPr>
        <w:t xml:space="preserve">决算数小于预算数的主要原因是落实过紧日子要求，严控本年公务用车出行费用；</w:t>
      </w:r>
      <w:r>
        <w:rPr>
          <w:rFonts w:eastAsia="仿宋_GB2312" w:hint="eastAsia"/>
          <w:sz w:val="30"/>
          <w:szCs w:val="30"/>
        </w:rPr>
        <w:t xml:space="preserve">决算数较上年增加的主要原因是本年公务用车出行费用较上年有所增加。</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5,000.00</w:t>
      </w:r>
      <w:r>
        <w:rPr>
          <w:rFonts w:eastAsia="仿宋_GB2312" w:hint="eastAsia"/>
          <w:sz w:val="30"/>
          <w:szCs w:val="30"/>
        </w:rPr>
        <w:t xml:space="preserve">元，支出决算</w:t>
      </w:r>
      <w:r>
        <w:rPr>
          <w:rFonts w:eastAsia="仿宋_GB2312" w:hint="eastAsia"/>
          <w:sz w:val="30"/>
          <w:szCs w:val="30"/>
        </w:rPr>
        <w:t xml:space="preserve">2,203.80</w:t>
      </w:r>
      <w:r>
        <w:rPr>
          <w:rFonts w:eastAsia="仿宋_GB2312" w:hint="eastAsia"/>
          <w:sz w:val="30"/>
          <w:szCs w:val="30"/>
        </w:rPr>
        <w:t xml:space="preserve">元，与预算相比</w:t>
      </w:r>
      <w:r>
        <w:rPr>
          <w:rFonts w:eastAsia="仿宋_GB2312" w:hint="eastAsia"/>
          <w:sz w:val="30"/>
          <w:szCs w:val="30"/>
        </w:rPr>
        <w:t xml:space="preserve">减少2,796.20元</w:t>
      </w:r>
      <w:r>
        <w:rPr>
          <w:rFonts w:eastAsia="仿宋_GB2312" w:hint="eastAsia"/>
          <w:sz w:val="30"/>
          <w:szCs w:val="30"/>
        </w:rPr>
        <w:t xml:space="preserve">，完成预算的44.076%</w:t>
      </w:r>
      <w:r>
        <w:rPr>
          <w:rFonts w:eastAsia="仿宋_GB2312" w:hint="eastAsia"/>
          <w:sz w:val="30"/>
          <w:szCs w:val="30"/>
        </w:rPr>
        <w:t xml:space="preserve">；</w:t>
      </w:r>
      <w:r>
        <w:rPr>
          <w:rFonts w:eastAsia="仿宋_GB2312" w:hint="eastAsia"/>
          <w:sz w:val="30"/>
          <w:szCs w:val="30"/>
        </w:rPr>
        <w:t xml:space="preserve">支出决算较上年增加66.49元</w:t>
      </w:r>
      <w:r>
        <w:rPr>
          <w:rFonts w:eastAsia="仿宋_GB2312" w:hint="eastAsia"/>
          <w:sz w:val="30"/>
          <w:szCs w:val="30"/>
        </w:rPr>
        <w:t xml:space="preserve">，增长3.111%</w:t>
      </w:r>
      <w:r>
        <w:rPr>
          <w:rFonts w:eastAsia="仿宋_GB2312" w:hint="eastAsia"/>
          <w:sz w:val="30"/>
          <w:szCs w:val="30"/>
        </w:rPr>
        <w:t xml:space="preserve">。</w:t>
      </w:r>
      <w:r>
        <w:rPr>
          <w:rFonts w:eastAsia="仿宋_GB2312" w:hint="eastAsia"/>
          <w:sz w:val="30"/>
          <w:szCs w:val="30"/>
        </w:rPr>
        <w:t xml:space="preserve">决算数小于预算数的主要原因是落实过紧日子要求，严控本年公务用车出行费用；</w:t>
      </w:r>
      <w:r>
        <w:rPr>
          <w:rFonts w:eastAsia="仿宋_GB2312" w:hint="eastAsia"/>
          <w:sz w:val="30"/>
          <w:szCs w:val="30"/>
        </w:rPr>
        <w:t xml:space="preserve">决算数较上年增加的主要原因是本年公务用车出行费用较上年有所增加。</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7</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决算数与预算数持平的主要原因是本年度未使用财政拨款经费列支公务用车购置费；</w:t>
      </w:r>
      <w:r>
        <w:rPr>
          <w:rFonts w:eastAsia="仿宋_GB2312" w:hint="eastAsia"/>
          <w:sz w:val="30"/>
          <w:szCs w:val="30"/>
        </w:rPr>
        <w:t xml:space="preserve">决算数较上年持平的主要原因是本年度与上年度均未使用财政拨款经费列支公务用车购置费。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26,000.00</w:t>
      </w:r>
      <w:r>
        <w:rPr>
          <w:rFonts w:eastAsia="仿宋_GB2312" w:hint="eastAsia"/>
          <w:sz w:val="30"/>
          <w:szCs w:val="30"/>
        </w:rPr>
        <w:t xml:space="preserve">元，支出决算</w:t>
      </w:r>
      <w:r>
        <w:rPr>
          <w:rFonts w:eastAsia="仿宋_GB2312" w:hint="eastAsia"/>
          <w:sz w:val="30"/>
          <w:szCs w:val="30"/>
        </w:rPr>
        <w:t xml:space="preserve">20,386.00</w:t>
      </w:r>
      <w:r>
        <w:rPr>
          <w:rFonts w:eastAsia="仿宋_GB2312" w:hint="eastAsia"/>
          <w:sz w:val="30"/>
          <w:szCs w:val="30"/>
        </w:rPr>
        <w:t xml:space="preserve">元，与预算相比</w:t>
      </w:r>
      <w:r>
        <w:rPr>
          <w:rFonts w:eastAsia="仿宋_GB2312" w:hint="eastAsia"/>
          <w:sz w:val="30"/>
          <w:szCs w:val="30"/>
        </w:rPr>
        <w:t xml:space="preserve">减少5,614.00元</w:t>
      </w:r>
      <w:r>
        <w:rPr>
          <w:rFonts w:eastAsia="仿宋_GB2312" w:hint="eastAsia"/>
          <w:sz w:val="30"/>
          <w:szCs w:val="30"/>
        </w:rPr>
        <w:t xml:space="preserve">，完成预算的78.408%</w:t>
      </w:r>
      <w:r>
        <w:rPr>
          <w:rFonts w:eastAsia="仿宋_GB2312" w:hint="eastAsia"/>
          <w:sz w:val="30"/>
          <w:szCs w:val="30"/>
        </w:rPr>
        <w:t xml:space="preserve">；</w:t>
      </w:r>
      <w:r>
        <w:rPr>
          <w:rFonts w:eastAsia="仿宋_GB2312" w:hint="eastAsia"/>
          <w:sz w:val="30"/>
          <w:szCs w:val="30"/>
        </w:rPr>
        <w:t xml:space="preserve">支出决算较上年增加4,316.00元</w:t>
      </w:r>
      <w:r>
        <w:rPr>
          <w:rFonts w:eastAsia="仿宋_GB2312" w:hint="eastAsia"/>
          <w:sz w:val="30"/>
          <w:szCs w:val="30"/>
        </w:rPr>
        <w:t xml:space="preserve">，增长26.857%</w:t>
      </w:r>
      <w:r>
        <w:rPr>
          <w:rFonts w:eastAsia="仿宋_GB2312" w:hint="eastAsia"/>
          <w:sz w:val="30"/>
          <w:szCs w:val="30"/>
        </w:rPr>
        <w:t xml:space="preserve">。</w:t>
      </w:r>
      <w:r>
        <w:rPr>
          <w:rFonts w:eastAsia="仿宋_GB2312" w:hint="eastAsia"/>
          <w:sz w:val="30"/>
          <w:szCs w:val="30"/>
        </w:rPr>
        <w:t xml:space="preserve">决算数小于预算数的主要原因是落实过紧日子要求，严控公务接待支出；</w:t>
      </w:r>
      <w:r>
        <w:rPr>
          <w:rFonts w:eastAsia="仿宋_GB2312" w:hint="eastAsia"/>
          <w:sz w:val="30"/>
          <w:szCs w:val="30"/>
        </w:rPr>
        <w:t xml:space="preserve">决算数较上年增加的主要原因是按照中心统一工作安排，2024年度公务接待次数较上年有所增加。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16</w:t>
      </w:r>
      <w:r>
        <w:rPr>
          <w:rFonts w:eastAsia="仿宋_GB2312" w:hint="eastAsia"/>
          <w:sz w:val="30"/>
          <w:szCs w:val="30"/>
        </w:rPr>
        <w:t xml:space="preserve">批次，</w:t>
      </w:r>
      <w:r>
        <w:rPr>
          <w:rFonts w:eastAsia="仿宋_GB2312" w:hint="eastAsia"/>
          <w:sz w:val="30"/>
          <w:szCs w:val="30"/>
        </w:rPr>
        <w:t xml:space="preserve">170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社会保险基金管理中心2024年度机关运行经费年初预算41,566,000.00元，决算数41,428,118.73元，与年初预算相比</w:t>
      </w:r>
      <w:r>
        <w:rPr>
          <w:rFonts w:eastAsia="仿宋_GB2312" w:hint="eastAsia"/>
          <w:sz w:val="30"/>
          <w:szCs w:val="30"/>
        </w:rPr>
        <w:t xml:space="preserve">减少137,881.27元，</w:t>
      </w:r>
      <w:r>
        <w:rPr>
          <w:rFonts w:eastAsia="仿宋_GB2312" w:hint="eastAsia"/>
          <w:sz w:val="30"/>
          <w:szCs w:val="30"/>
        </w:rPr>
        <w:t xml:space="preserve">完成年初预算的99.668%；</w:t>
      </w:r>
      <w:r>
        <w:rPr>
          <w:rFonts w:eastAsia="仿宋_GB2312" w:hint="eastAsia"/>
          <w:sz w:val="30"/>
          <w:szCs w:val="30"/>
        </w:rPr>
        <w:t xml:space="preserve">比2023年减少3,952,258.77元</w:t>
      </w:r>
      <w:r>
        <w:rPr>
          <w:rFonts w:eastAsia="仿宋_GB2312" w:hint="eastAsia"/>
          <w:sz w:val="30"/>
          <w:szCs w:val="30"/>
        </w:rPr>
        <w:t xml:space="preserve">，下降8.709%</w:t>
      </w:r>
      <w:r>
        <w:rPr>
          <w:rFonts w:eastAsia="仿宋_GB2312" w:hint="eastAsia"/>
          <w:sz w:val="30"/>
          <w:szCs w:val="30"/>
        </w:rPr>
        <w:t xml:space="preserve">，主要原因是：落实过紧日子要求，持续压减办公费、差旅费、维修费等公用经费支出。</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社会保险基金管理中心2024年政府采购支出总额21,610,262.29元，其中：政府采购货物支出2,217,522.20元、政府采购工程支出0.00元、政府采购服务支出19,392,740.09元。授予中小企业合同金额19,931,629.29元，占政府采购支出总额的92.232%，其中：授予小微企业合同金额18,593,509.29元，占政府采购支出总额的86.040%；货物采购授予中小企业合同金额占货物支出金额的99.433%，工程采购授予中小企业合同金额占工程支出金额的0.000%，服务采购授予中小企业合同金额占服务支出金额的91.409%。</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天津市社会保险基金管理中心2024年度无国有资产占有使用情况。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根据预算绩效管理要求，天津市社会保险基金管理中心2024年度已对6个市级项目开展绩效自评，涉及金额31,911,925.24元，自评结果已随部门决算一并公开。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天津市社会保险基金管理中心不属于乡、镇、街级单位，不涉及公开2024年度教育、医疗卫生、社会保障和就业、住房保障、涉农补贴等民生支出情况。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