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eastAsia="黑体"/>
          <w:b/>
          <w:kern w:val="0"/>
          <w:sz w:val="32"/>
          <w:szCs w:val="32"/>
        </w:rPr>
      </w:pPr>
      <w:r>
        <w:rPr>
          <w:rFonts w:hint="default" w:eastAsia="黑体"/>
          <w:sz w:val="32"/>
          <w:szCs w:val="32"/>
        </w:rPr>
        <w:t>附件1</w:t>
      </w:r>
    </w:p>
    <w:p>
      <w:pPr>
        <w:adjustRightInd w:val="0"/>
        <w:snapToGrid w:val="0"/>
        <w:rPr>
          <w:rFonts w:eastAsia="仿宋_GB2312"/>
          <w:sz w:val="32"/>
          <w:szCs w:val="32"/>
        </w:rPr>
      </w:pPr>
    </w:p>
    <w:p>
      <w:pPr>
        <w:adjustRightInd w:val="0"/>
        <w:snapToGrid w:val="0"/>
        <w:spacing w:line="560" w:lineRule="exact"/>
        <w:jc w:val="center"/>
        <w:rPr>
          <w:rFonts w:eastAsia="方正小标宋简体"/>
          <w:bCs/>
          <w:sz w:val="44"/>
          <w:szCs w:val="44"/>
        </w:rPr>
      </w:pPr>
      <w:r>
        <w:rPr>
          <w:rFonts w:eastAsia="华文中宋"/>
          <w:bCs/>
          <w:kern w:val="0"/>
          <w:sz w:val="44"/>
          <w:szCs w:val="44"/>
        </w:rPr>
        <w:t xml:space="preserve">  </w:t>
      </w:r>
      <w:r>
        <w:rPr>
          <w:rFonts w:eastAsia="方正小标宋简体"/>
          <w:bCs/>
          <w:sz w:val="44"/>
          <w:szCs w:val="44"/>
        </w:rPr>
        <w:t xml:space="preserve"> 农民工工资保证金存</w:t>
      </w:r>
      <w:bookmarkStart w:id="0" w:name="_GoBack"/>
      <w:bookmarkEnd w:id="0"/>
      <w:r>
        <w:rPr>
          <w:rFonts w:eastAsia="方正小标宋简体"/>
          <w:bCs/>
          <w:sz w:val="44"/>
          <w:szCs w:val="44"/>
        </w:rPr>
        <w:t>款协议书（样本）</w:t>
      </w:r>
    </w:p>
    <w:p>
      <w:pPr>
        <w:adjustRightInd w:val="0"/>
        <w:snapToGrid w:val="0"/>
        <w:spacing w:line="560" w:lineRule="exact"/>
        <w:rPr>
          <w:rFonts w:eastAsia="仿宋_GB2312"/>
          <w:kern w:val="0"/>
          <w:sz w:val="32"/>
          <w:szCs w:val="32"/>
        </w:rPr>
      </w:pP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为做好农民工工资保证金监管，根据《保障农民工工资支付条例》、《工程建设领域农民工工资保证金规定》、《天津市工程建设领域农民工工资保证金实施办法》，农民工工资保证金存储企业和银行就农民工工资保证金（以下简称</w:t>
      </w:r>
      <w:r>
        <w:rPr>
          <w:rFonts w:hint="eastAsia" w:eastAsia="仿宋_GB2312"/>
          <w:kern w:val="0"/>
          <w:sz w:val="32"/>
          <w:szCs w:val="32"/>
          <w:lang w:eastAsia="zh-CN"/>
        </w:rPr>
        <w:t>“</w:t>
      </w:r>
      <w:r>
        <w:rPr>
          <w:rFonts w:eastAsia="仿宋_GB2312"/>
          <w:kern w:val="0"/>
          <w:sz w:val="32"/>
          <w:szCs w:val="32"/>
        </w:rPr>
        <w:t>工资保证金</w:t>
      </w:r>
      <w:r>
        <w:rPr>
          <w:rFonts w:hint="eastAsia" w:eastAsia="仿宋_GB2312"/>
          <w:kern w:val="0"/>
          <w:sz w:val="32"/>
          <w:szCs w:val="32"/>
          <w:lang w:eastAsia="zh-CN"/>
        </w:rPr>
        <w:t>”</w:t>
      </w:r>
      <w:r>
        <w:rPr>
          <w:rFonts w:eastAsia="仿宋_GB2312"/>
          <w:kern w:val="0"/>
          <w:sz w:val="32"/>
          <w:szCs w:val="32"/>
        </w:rPr>
        <w:t>）的管理事项达成以下协议：</w:t>
      </w:r>
    </w:p>
    <w:p>
      <w:pPr>
        <w:numPr>
          <w:ilvl w:val="0"/>
          <w:numId w:val="1"/>
        </w:numPr>
        <w:adjustRightInd w:val="0"/>
        <w:snapToGrid w:val="0"/>
        <w:spacing w:line="560" w:lineRule="exact"/>
        <w:ind w:firstLine="640" w:firstLineChars="200"/>
        <w:rPr>
          <w:rFonts w:eastAsia="仿宋_GB2312"/>
          <w:kern w:val="0"/>
          <w:sz w:val="32"/>
          <w:szCs w:val="32"/>
        </w:rPr>
      </w:pPr>
      <w:r>
        <w:rPr>
          <w:rFonts w:eastAsia="仿宋_GB2312"/>
          <w:kern w:val="0"/>
          <w:sz w:val="32"/>
          <w:szCs w:val="32"/>
        </w:rPr>
        <w:t>工资保证金存储企业（以下简称</w:t>
      </w:r>
      <w:r>
        <w:rPr>
          <w:rFonts w:hint="eastAsia" w:eastAsia="仿宋_GB2312"/>
          <w:kern w:val="0"/>
          <w:sz w:val="32"/>
          <w:szCs w:val="32"/>
          <w:lang w:eastAsia="zh-CN"/>
        </w:rPr>
        <w:t>“</w:t>
      </w:r>
      <w:r>
        <w:rPr>
          <w:rFonts w:eastAsia="仿宋_GB2312"/>
          <w:kern w:val="0"/>
          <w:sz w:val="32"/>
          <w:szCs w:val="32"/>
        </w:rPr>
        <w:t>存储企业</w:t>
      </w:r>
      <w:r>
        <w:rPr>
          <w:rFonts w:hint="eastAsia" w:eastAsia="仿宋_GB2312"/>
          <w:kern w:val="0"/>
          <w:sz w:val="32"/>
          <w:szCs w:val="32"/>
          <w:lang w:eastAsia="zh-CN"/>
        </w:rPr>
        <w:t>”</w:t>
      </w:r>
      <w:r>
        <w:rPr>
          <w:rFonts w:eastAsia="仿宋_GB2312"/>
          <w:kern w:val="0"/>
          <w:sz w:val="32"/>
          <w:szCs w:val="32"/>
        </w:rPr>
        <w:t>）依法缴存保障为其承包工程提供劳动的农民工工资报酬权益的保证金，除存储企业</w:t>
      </w:r>
      <w:r>
        <w:rPr>
          <w:rFonts w:eastAsia="仿宋_GB2312"/>
          <w:sz w:val="32"/>
          <w:szCs w:val="32"/>
        </w:rPr>
        <w:t>所承包工程发生拖欠农民工工资</w:t>
      </w:r>
      <w:r>
        <w:rPr>
          <w:rFonts w:eastAsia="仿宋_GB2312"/>
          <w:kern w:val="0"/>
          <w:sz w:val="32"/>
          <w:szCs w:val="32"/>
        </w:rPr>
        <w:t>的情形外，任何单位和个人不得使用工资保证金。</w:t>
      </w:r>
    </w:p>
    <w:p>
      <w:pPr>
        <w:adjustRightInd w:val="0"/>
        <w:snapToGrid w:val="0"/>
        <w:spacing w:line="560" w:lineRule="exact"/>
        <w:rPr>
          <w:rFonts w:eastAsia="仿宋_GB2312"/>
          <w:kern w:val="0"/>
          <w:sz w:val="32"/>
          <w:szCs w:val="32"/>
        </w:rPr>
      </w:pPr>
      <w:r>
        <w:rPr>
          <w:rFonts w:eastAsia="仿宋_GB2312"/>
          <w:kern w:val="0"/>
          <w:sz w:val="32"/>
          <w:szCs w:val="32"/>
        </w:rPr>
        <w:t xml:space="preserve">    二、存储企业承诺按照天津市具体缴存比例存储（补足）工资保证金，银行对存储（补足）是否足额不承担审查义务。</w:t>
      </w:r>
    </w:p>
    <w:p>
      <w:pPr>
        <w:adjustRightInd w:val="0"/>
        <w:snapToGrid w:val="0"/>
        <w:spacing w:line="560" w:lineRule="exact"/>
        <w:ind w:firstLine="640" w:firstLineChars="200"/>
        <w:rPr>
          <w:rFonts w:eastAsia="仿宋_GB2312"/>
          <w:sz w:val="32"/>
          <w:szCs w:val="32"/>
        </w:rPr>
      </w:pPr>
      <w:r>
        <w:rPr>
          <w:rFonts w:eastAsia="仿宋_GB2312"/>
          <w:sz w:val="32"/>
          <w:szCs w:val="32"/>
        </w:rPr>
        <w:t>三、银行对存储企业缴存的工资保证金，按照（ ）年定期、到期自动转存管理。本金和全部利息收入归存储企业所有。</w:t>
      </w:r>
    </w:p>
    <w:p>
      <w:pPr>
        <w:adjustRightInd w:val="0"/>
        <w:snapToGrid w:val="0"/>
        <w:spacing w:line="560" w:lineRule="exact"/>
        <w:ind w:firstLine="640" w:firstLineChars="200"/>
        <w:rPr>
          <w:rFonts w:eastAsia="仿宋_GB2312"/>
          <w:sz w:val="32"/>
          <w:szCs w:val="32"/>
        </w:rPr>
      </w:pPr>
      <w:r>
        <w:rPr>
          <w:rFonts w:eastAsia="仿宋_GB2312"/>
          <w:sz w:val="32"/>
          <w:szCs w:val="32"/>
        </w:rPr>
        <w:t>银行向天津市农民工工资支付监控预警平台实时上传工资保证金账户信息、保证金拨付、支出等信息。</w:t>
      </w:r>
    </w:p>
    <w:p>
      <w:pPr>
        <w:adjustRightInd w:val="0"/>
        <w:snapToGrid w:val="0"/>
        <w:spacing w:line="560" w:lineRule="exact"/>
        <w:ind w:firstLine="640" w:firstLineChars="200"/>
        <w:rPr>
          <w:rFonts w:hint="eastAsia" w:ascii="Times New Roman" w:hAnsi="Times New Roman" w:eastAsia="仿宋_GB2312" w:cs="仿宋_GB2312"/>
          <w:sz w:val="32"/>
          <w:szCs w:val="32"/>
        </w:rPr>
      </w:pPr>
      <w:r>
        <w:rPr>
          <w:rFonts w:eastAsia="仿宋_GB2312"/>
          <w:sz w:val="32"/>
          <w:szCs w:val="32"/>
        </w:rPr>
        <w:t>四、存储企业不得以缴纳工资保证金的有关凭证设定担保，银行应在出具的工资保证金有关凭证</w:t>
      </w:r>
      <w:r>
        <w:rPr>
          <w:rFonts w:hint="eastAsia" w:ascii="Times New Roman" w:hAnsi="Times New Roman" w:eastAsia="仿宋_GB2312" w:cs="仿宋_GB2312"/>
          <w:sz w:val="32"/>
          <w:szCs w:val="32"/>
        </w:rPr>
        <w:t>上注明“专用款项不得担保”字样。</w:t>
      </w:r>
    </w:p>
    <w:p>
      <w:pPr>
        <w:adjustRightInd w:val="0"/>
        <w:snapToGrid w:val="0"/>
        <w:spacing w:line="560" w:lineRule="exact"/>
        <w:ind w:firstLine="640" w:firstLineChars="200"/>
        <w:rPr>
          <w:rFonts w:eastAsia="仿宋_GB2312"/>
          <w:sz w:val="32"/>
          <w:szCs w:val="32"/>
        </w:rPr>
      </w:pPr>
      <w:r>
        <w:rPr>
          <w:rFonts w:eastAsia="仿宋_GB2312"/>
          <w:sz w:val="32"/>
          <w:szCs w:val="32"/>
        </w:rPr>
        <w:t>五、工资保证金使用按照如下方式执行：</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存储企业</w:t>
      </w:r>
      <w:r>
        <w:rPr>
          <w:rFonts w:eastAsia="仿宋_GB2312"/>
          <w:sz w:val="32"/>
          <w:szCs w:val="32"/>
        </w:rPr>
        <w:t>所承包工程发生拖欠农民工工资</w:t>
      </w:r>
      <w:r>
        <w:rPr>
          <w:rFonts w:eastAsia="仿宋_GB2312"/>
          <w:kern w:val="0"/>
          <w:sz w:val="32"/>
          <w:szCs w:val="32"/>
        </w:rPr>
        <w:t>需要使用工资保证金，工程项目所在地的监管工资保证金的人力资源</w:t>
      </w:r>
      <w:r>
        <w:rPr>
          <w:rFonts w:hint="eastAsia" w:eastAsia="仿宋_GB2312"/>
          <w:kern w:val="0"/>
          <w:sz w:val="32"/>
          <w:szCs w:val="32"/>
          <w:lang w:eastAsia="zh-CN"/>
        </w:rPr>
        <w:t>和</w:t>
      </w:r>
      <w:r>
        <w:rPr>
          <w:rFonts w:eastAsia="仿宋_GB2312"/>
          <w:kern w:val="0"/>
          <w:sz w:val="32"/>
          <w:szCs w:val="32"/>
        </w:rPr>
        <w:t>社会保障行政部门（以下简称</w:t>
      </w:r>
      <w:r>
        <w:rPr>
          <w:rFonts w:hint="eastAsia" w:eastAsia="仿宋_GB2312"/>
          <w:kern w:val="0"/>
          <w:sz w:val="32"/>
          <w:szCs w:val="32"/>
          <w:lang w:eastAsia="zh-CN"/>
        </w:rPr>
        <w:t>“</w:t>
      </w:r>
      <w:r>
        <w:rPr>
          <w:rFonts w:eastAsia="仿宋_GB2312"/>
          <w:kern w:val="0"/>
          <w:sz w:val="32"/>
          <w:szCs w:val="32"/>
        </w:rPr>
        <w:t>人社部门</w:t>
      </w:r>
      <w:r>
        <w:rPr>
          <w:rFonts w:hint="eastAsia" w:eastAsia="仿宋_GB2312"/>
          <w:kern w:val="0"/>
          <w:sz w:val="32"/>
          <w:szCs w:val="32"/>
          <w:lang w:eastAsia="zh-CN"/>
        </w:rPr>
        <w:t>”</w:t>
      </w:r>
      <w:r>
        <w:rPr>
          <w:rFonts w:eastAsia="仿宋_GB2312"/>
          <w:kern w:val="0"/>
          <w:sz w:val="32"/>
          <w:szCs w:val="32"/>
        </w:rPr>
        <w:t>）书面通知存储企业和银行，出具《农民工工资保证金支付通知书》（以下简称《支付通知书》）。银行根据《支付通知书》，从工资保证金账户中将相应数额的款项以银行转账方式支付给人社部门指定的支付对象（农民工）。</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非以上规定的情形而出现工资保证金减少，银行应承担补足责任，但因有权机关依法查封、冻结、划拨的除外。</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对超出存储企业实际缴存的工资保证金数额的，银行不承担任何支付义务。</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六、工资保证金使用后3个工作日内，银行应将工资保证金使用的有关情况通知存储企业和人社部门。</w:t>
      </w:r>
    </w:p>
    <w:p>
      <w:pPr>
        <w:pStyle w:val="6"/>
        <w:adjustRightInd w:val="0"/>
        <w:snapToGrid w:val="0"/>
        <w:spacing w:before="0" w:beforeAutospacing="0" w:after="0" w:afterAutospacing="0" w:line="560" w:lineRule="exact"/>
        <w:ind w:firstLine="48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七、银行应每季度出具工资保证金存款对账单一式两份，分别发送给存储企业和</w:t>
      </w:r>
      <w:r>
        <w:rPr>
          <w:rFonts w:ascii="Times New Roman" w:hAnsi="Times New Roman" w:eastAsia="仿宋_GB2312"/>
          <w:kern w:val="0"/>
          <w:sz w:val="32"/>
          <w:szCs w:val="32"/>
        </w:rPr>
        <w:t>人社</w:t>
      </w:r>
      <w:r>
        <w:rPr>
          <w:rFonts w:ascii="Times New Roman" w:hAnsi="Times New Roman" w:eastAsia="仿宋_GB2312" w:cs="Times New Roman"/>
          <w:sz w:val="32"/>
          <w:szCs w:val="32"/>
        </w:rPr>
        <w:t>部门。</w:t>
      </w:r>
      <w:r>
        <w:rPr>
          <w:rFonts w:ascii="Times New Roman" w:hAnsi="Times New Roman" w:eastAsia="仿宋_GB2312" w:cs="Times New Roman"/>
          <w:kern w:val="2"/>
          <w:sz w:val="32"/>
          <w:szCs w:val="32"/>
        </w:rPr>
        <w:t>相关信息上传</w:t>
      </w:r>
      <w:r>
        <w:rPr>
          <w:rFonts w:ascii="Times New Roman" w:hAnsi="Times New Roman" w:eastAsia="仿宋_GB2312" w:cs="Times New Roman"/>
          <w:sz w:val="32"/>
          <w:szCs w:val="32"/>
        </w:rPr>
        <w:t>天津市农民工工资支付监控预警平台。</w:t>
      </w:r>
    </w:p>
    <w:p>
      <w:pPr>
        <w:pStyle w:val="6"/>
        <w:adjustRightInd w:val="0"/>
        <w:snapToGrid w:val="0"/>
        <w:spacing w:before="0" w:beforeAutospacing="0" w:after="0" w:afterAutospacing="0" w:line="560" w:lineRule="exact"/>
        <w:ind w:firstLine="48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八、本协议一式两份，存储企业和银行各存一份，复印件送</w:t>
      </w:r>
      <w:r>
        <w:rPr>
          <w:rFonts w:ascii="Times New Roman" w:hAnsi="Times New Roman" w:eastAsia="仿宋_GB2312"/>
          <w:kern w:val="0"/>
          <w:sz w:val="32"/>
          <w:szCs w:val="32"/>
        </w:rPr>
        <w:t>人社</w:t>
      </w:r>
      <w:r>
        <w:rPr>
          <w:rFonts w:ascii="Times New Roman" w:hAnsi="Times New Roman" w:eastAsia="仿宋_GB2312" w:cs="Times New Roman"/>
          <w:sz w:val="32"/>
          <w:szCs w:val="32"/>
        </w:rPr>
        <w:t>部门备案。</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附注一：工程项目基本信息（项目名称、项目所在地、施工合同期限、施工合同造价、存储比例等）</w:t>
      </w: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附注二：存款金额</w:t>
      </w: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存款金额：　　佰　拾　万　千　佰　拾　元　角　分</w:t>
      </w: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　　小写：</w:t>
      </w: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附注三：人社部门、存储企业和开户银行基本信息</w:t>
      </w: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　</w:t>
      </w: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人社部门：</w:t>
      </w: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　　通信地址及邮编：</w:t>
      </w: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　　联系人：</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电话：</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传真：</w:t>
      </w: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存储企业：</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统一社会信用代码：</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通信地址及邮编：</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联系人：</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电话：</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传真：</w:t>
      </w: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开户银行：</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通信地址及邮编：</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联系人：</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电话：</w:t>
      </w:r>
    </w:p>
    <w:p>
      <w:pPr>
        <w:tabs>
          <w:tab w:val="left" w:pos="5970"/>
        </w:tabs>
        <w:adjustRightInd w:val="0"/>
        <w:snapToGrid w:val="0"/>
        <w:spacing w:line="560" w:lineRule="exact"/>
        <w:ind w:firstLine="645"/>
        <w:rPr>
          <w:rFonts w:eastAsia="仿宋_GB2312"/>
          <w:kern w:val="0"/>
          <w:sz w:val="32"/>
          <w:szCs w:val="32"/>
        </w:rPr>
      </w:pPr>
      <w:r>
        <w:rPr>
          <w:rFonts w:eastAsia="仿宋_GB2312"/>
          <w:kern w:val="0"/>
          <w:sz w:val="32"/>
          <w:szCs w:val="32"/>
        </w:rPr>
        <w:t>传真：</w:t>
      </w:r>
    </w:p>
    <w:p>
      <w:pPr>
        <w:tabs>
          <w:tab w:val="left" w:pos="5970"/>
        </w:tabs>
        <w:adjustRightInd w:val="0"/>
        <w:snapToGrid w:val="0"/>
        <w:spacing w:line="560" w:lineRule="exact"/>
        <w:ind w:firstLine="645"/>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存储企业  　　　　　　　    开户银行</w:t>
      </w: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（盖章）　　　　　　　　　　（盖章）</w:t>
      </w: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法定代表人或授权代表人　　　法定代表人或授权代表人</w:t>
      </w:r>
    </w:p>
    <w:p>
      <w:pPr>
        <w:tabs>
          <w:tab w:val="left" w:pos="5970"/>
        </w:tabs>
        <w:adjustRightInd w:val="0"/>
        <w:snapToGrid w:val="0"/>
        <w:spacing w:line="560" w:lineRule="exact"/>
        <w:rPr>
          <w:rFonts w:eastAsia="仿宋_GB2312"/>
          <w:kern w:val="0"/>
          <w:sz w:val="32"/>
          <w:szCs w:val="32"/>
        </w:rPr>
      </w:pPr>
      <w:r>
        <w:rPr>
          <w:rFonts w:eastAsia="仿宋_GB2312"/>
          <w:kern w:val="0"/>
          <w:sz w:val="32"/>
          <w:szCs w:val="32"/>
        </w:rPr>
        <w:t>（签字）　　　　　　　　（签字）</w:t>
      </w: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p>
    <w:p>
      <w:pPr>
        <w:tabs>
          <w:tab w:val="left" w:pos="5970"/>
        </w:tabs>
        <w:adjustRightInd w:val="0"/>
        <w:snapToGrid w:val="0"/>
        <w:spacing w:line="560" w:lineRule="exact"/>
        <w:ind w:firstLine="640" w:firstLineChars="200"/>
        <w:rPr>
          <w:rFonts w:eastAsia="仿宋_GB2312"/>
          <w:kern w:val="0"/>
          <w:sz w:val="32"/>
          <w:szCs w:val="32"/>
        </w:rPr>
      </w:pPr>
      <w:r>
        <w:rPr>
          <w:rFonts w:eastAsia="仿宋_GB2312"/>
          <w:kern w:val="0"/>
          <w:sz w:val="32"/>
          <w:szCs w:val="32"/>
        </w:rPr>
        <w:t>签字时间：　　　　 　　　　　签字时间：</w:t>
      </w:r>
    </w:p>
    <w:p>
      <w:pPr>
        <w:adjustRightInd w:val="0"/>
        <w:snapToGrid w:val="0"/>
        <w:spacing w:line="560" w:lineRule="exact"/>
        <w:rPr>
          <w:rFonts w:eastAsia="仿宋_GB2312"/>
          <w:sz w:val="32"/>
          <w:szCs w:val="32"/>
        </w:rPr>
      </w:pPr>
    </w:p>
    <w:p>
      <w:pPr>
        <w:widowControl/>
        <w:shd w:val="clear" w:color="auto" w:fill="FFFFFF"/>
        <w:adjustRightInd w:val="0"/>
        <w:snapToGrid w:val="0"/>
        <w:spacing w:line="560" w:lineRule="exact"/>
        <w:jc w:val="left"/>
        <w:rPr>
          <w:rFonts w:eastAsia="仿宋_GB2312"/>
          <w:sz w:val="32"/>
        </w:rPr>
      </w:pPr>
      <w:r>
        <w:rPr>
          <w:rFonts w:eastAsia="仿宋_GB2312"/>
          <w:sz w:val="32"/>
          <w:szCs w:val="32"/>
        </w:rPr>
        <w:t>注：样本仅供参考，各单位可结合实际修订使用</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767C68-33F8-4B20-83B6-696AD7B8A5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1A498B6-8B5E-412B-B4E4-4099FC57F1C7}"/>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4D526C4E-FB90-4625-A69E-1DE00EA49F8C}"/>
  </w:font>
  <w:font w:name="方正小标宋简体">
    <w:panose1 w:val="02000000000000000000"/>
    <w:charset w:val="86"/>
    <w:family w:val="script"/>
    <w:pitch w:val="default"/>
    <w:sig w:usb0="00000001" w:usb1="08000000" w:usb2="00000000" w:usb3="00000000" w:csb0="00040000" w:csb1="00000000"/>
    <w:embedRegular r:id="rId4" w:fontKey="{856DFBD1-3E63-49C1-B1EC-2E51E200F131}"/>
  </w:font>
  <w:font w:name="华文中宋">
    <w:altName w:val="宋体"/>
    <w:panose1 w:val="02010600040101010101"/>
    <w:charset w:val="00"/>
    <w:family w:val="auto"/>
    <w:pitch w:val="default"/>
    <w:sig w:usb0="00000000" w:usb1="00000000" w:usb2="00000010" w:usb3="00000000" w:csb0="0004009F" w:csb1="00000000"/>
    <w:embedRegular r:id="rId5" w:fontKey="{0A0D20C7-2B83-4DA0-87AB-40227876E033}"/>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C1A0D"/>
    <w:rsid w:val="08AC1A0D"/>
    <w:rsid w:val="649C4AAB"/>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rFonts w:ascii="Calibri" w:hAnsi="Calibri" w:eastAsia="宋体"/>
      <w:sz w:val="20"/>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1097</Words>
  <Characters>1097</Characters>
  <Lines>0</Lines>
  <Paragraphs>0</Paragraphs>
  <TotalTime>0</TotalTime>
  <ScaleCrop>false</ScaleCrop>
  <LinksUpToDate>false</LinksUpToDate>
  <CharactersWithSpaces>1166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2022-04-06T01:46:00Z</dcterms:created>
  <dc:creator>姚乃嘉</dc:creator>
  <cp:lastModifiedBy>姚乃嘉</cp:lastModifiedBy>
  <dcterms:modified xsi:type="dcterms:W3CDTF">2022-04-06T01:46:34Z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85F3553C160F4C34A96344764137A4A7</vt:lpwstr>
  </property>
</Properties>
</file>