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eastAsia="黑体" w:cs="仿宋_GB2312"/>
          <w:color w:val="auto"/>
          <w:sz w:val="32"/>
          <w:szCs w:val="32"/>
          <w:lang w:val="en"/>
        </w:rPr>
      </w:pPr>
      <w:r>
        <w:rPr>
          <w:rFonts w:hint="eastAsia" w:eastAsia="黑体" w:cs="仿宋_GB2312"/>
          <w:color w:val="auto"/>
          <w:sz w:val="32"/>
          <w:szCs w:val="32"/>
        </w:rPr>
        <w:t>附件</w:t>
      </w:r>
      <w:r>
        <w:rPr>
          <w:rFonts w:hint="default" w:eastAsia="黑体" w:cs="仿宋_GB2312"/>
          <w:color w:val="auto"/>
          <w:sz w:val="32"/>
          <w:szCs w:val="32"/>
          <w:lang w:val="en"/>
        </w:rPr>
        <w:t>1</w:t>
      </w:r>
    </w:p>
    <w:p>
      <w:pPr>
        <w:spacing w:line="600" w:lineRule="exact"/>
        <w:rPr>
          <w:rFonts w:eastAsia="黑体"/>
          <w:color w:val="auto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hint="eastAsia" w:eastAsia="文星简小标宋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文星简小标宋" w:cs="Times New Roman"/>
          <w:color w:val="auto"/>
          <w:sz w:val="44"/>
          <w:szCs w:val="44"/>
        </w:rPr>
        <w:t>202</w:t>
      </w:r>
      <w:r>
        <w:rPr>
          <w:rFonts w:hint="eastAsia" w:eastAsia="文星简小标宋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文星简小标宋" w:cs="Times New Roman"/>
          <w:color w:val="auto"/>
          <w:sz w:val="44"/>
          <w:szCs w:val="44"/>
        </w:rPr>
        <w:t>年</w:t>
      </w:r>
      <w:r>
        <w:rPr>
          <w:rFonts w:hint="eastAsia" w:eastAsia="文星简小标宋" w:cs="文星简小标宋"/>
          <w:color w:val="auto"/>
          <w:sz w:val="44"/>
          <w:szCs w:val="44"/>
        </w:rPr>
        <w:t>天津市专业技术人员继续教育</w:t>
      </w:r>
    </w:p>
    <w:p>
      <w:pPr>
        <w:wordWrap w:val="0"/>
        <w:spacing w:line="600" w:lineRule="exact"/>
        <w:jc w:val="center"/>
        <w:rPr>
          <w:rFonts w:eastAsia="文星简小标宋"/>
          <w:color w:val="auto"/>
          <w:sz w:val="44"/>
          <w:szCs w:val="44"/>
        </w:rPr>
      </w:pPr>
      <w:r>
        <w:rPr>
          <w:rFonts w:hint="eastAsia" w:eastAsia="文星简小标宋" w:cs="文星简小标宋"/>
          <w:color w:val="auto"/>
          <w:sz w:val="44"/>
          <w:szCs w:val="44"/>
        </w:rPr>
        <w:t>公需科目指导目录</w:t>
      </w:r>
    </w:p>
    <w:bookmarkEnd w:id="0"/>
    <w:p>
      <w:pPr>
        <w:wordWrap w:val="0"/>
        <w:spacing w:line="600" w:lineRule="exact"/>
        <w:ind w:firstLine="640"/>
        <w:jc w:val="left"/>
        <w:rPr>
          <w:rFonts w:eastAsia="黑体"/>
          <w:color w:val="auto"/>
          <w:sz w:val="32"/>
          <w:szCs w:val="32"/>
        </w:rPr>
      </w:pPr>
    </w:p>
    <w:p>
      <w:pPr>
        <w:pStyle w:val="5"/>
        <w:numPr>
          <w:ilvl w:val="0"/>
          <w:numId w:val="1"/>
        </w:numPr>
        <w:wordWrap w:val="0"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必修课（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门）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习近平总书记“七一”讲话精神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党的十九届六中全会精神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“十四五”规划和2035年远景目标纲要</w:t>
      </w:r>
    </w:p>
    <w:p>
      <w:pPr>
        <w:wordWrap w:val="0"/>
        <w:spacing w:line="600" w:lineRule="exact"/>
        <w:ind w:firstLine="64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二、选修课（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eastAsia="黑体" w:cs="Times New Roman"/>
          <w:color w:val="auto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门）</w:t>
      </w:r>
    </w:p>
    <w:p>
      <w:pPr>
        <w:wordWrap w:val="0"/>
        <w:spacing w:line="600" w:lineRule="exact"/>
        <w:ind w:firstLine="640"/>
        <w:jc w:val="left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（一）政治理论类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eastAsia="楷体_GB2312" w:cs="Times New Roman"/>
          <w:color w:val="auto"/>
          <w:sz w:val="32"/>
          <w:szCs w:val="32"/>
          <w:lang w:val="en" w:eastAsia="zh-CN"/>
        </w:rPr>
        <w:t>8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习近平新时代中国特色社会主义思想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社会主义核心价值体系中的民族精神和时代精神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中国共产党人精神谱系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中央人才工作会议精神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民法典与法治思维能力建设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网络舆情管理与网络事件应对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国家知识产权战略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坚定文化自信，传承中华文脉</w:t>
      </w:r>
    </w:p>
    <w:p>
      <w:pPr>
        <w:wordWrap/>
        <w:adjustRightInd w:val="0"/>
        <w:spacing w:line="600" w:lineRule="exact"/>
        <w:ind w:firstLine="640"/>
        <w:jc w:val="both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）科学技术类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eastAsia="楷体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碳达峰、碳中和目标与绿色低碳发展转型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生物医药产业的高质量发展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5G关键应用驱动经济发展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云计算相关研究工作与思路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区块链发展态势及其作用和影响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互联网+大数据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智慧城市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先进智造技术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集成电路技术的历史、现状和展望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网络空间安全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国产操作系统软件应用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12. 空间技术的成就与展望 </w:t>
      </w:r>
    </w:p>
    <w:p>
      <w:pPr>
        <w:wordWrap w:val="0"/>
        <w:spacing w:line="600" w:lineRule="exact"/>
        <w:ind w:firstLine="640"/>
        <w:jc w:val="left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）现代管理类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eastAsia="楷体_GB2312" w:cs="Times New Roman"/>
          <w:color w:val="auto"/>
          <w:sz w:val="32"/>
          <w:szCs w:val="32"/>
          <w:lang w:val="en" w:eastAsia="zh-CN"/>
        </w:rPr>
        <w:t>8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1．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提高突发事件应对能力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2．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应对突发公共卫生事件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3．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培训管理与人才开发</w:t>
      </w:r>
    </w:p>
    <w:p>
      <w:pPr>
        <w:adjustRightInd w:val="0"/>
        <w:spacing w:line="600" w:lineRule="exact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4．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博弈思维与制度设计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5．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办公室工作创新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6．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当代领导干部道德建设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7．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公共服务、法治政府与依法行政能力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8. 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大数据与旅游业</w:t>
      </w:r>
    </w:p>
    <w:p>
      <w:pPr>
        <w:wordWrap w:val="0"/>
        <w:spacing w:line="600" w:lineRule="exact"/>
        <w:ind w:firstLine="640"/>
        <w:jc w:val="left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）职业素养类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1．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结构化思维与表达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2．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时间管理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3．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目标管理与计划执行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4．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职场情绪管理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公文写作规范与技巧</w:t>
      </w:r>
    </w:p>
    <w:p>
      <w:pPr>
        <w:wordWrap w:val="0"/>
        <w:spacing w:line="600" w:lineRule="exact"/>
        <w:ind w:firstLine="640"/>
        <w:jc w:val="left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）生活知识类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传染病的预防与控制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压力管理与心理健康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失眠的危害及自我治疗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科学饮食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青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少年儿童常见视力问题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心肺复苏技术</w:t>
      </w:r>
    </w:p>
    <w:p>
      <w:pPr>
        <w:adjustRightInd w:val="0"/>
        <w:spacing w:line="600" w:lineRule="exact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信息时代的家庭教育</w:t>
      </w:r>
    </w:p>
    <w:p>
      <w:pPr>
        <w:adjustRightInd w:val="0"/>
        <w:spacing w:line="600" w:lineRule="exact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开向未来的无人车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B4048"/>
    <w:multiLevelType w:val="multilevel"/>
    <w:tmpl w:val="713B404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94672"/>
    <w:rsid w:val="02494672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"/>
    <w:basedOn w:val="1"/>
    <w:qFormat/>
    <w:uiPriority w:val="99"/>
    <w:pPr>
      <w:widowControl/>
      <w:ind w:left="85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2022-02-09T00:33:00Z</dcterms:created>
  <dc:creator>姚乃嘉</dc:creator>
  <cp:lastModifiedBy>姚乃嘉</cp:lastModifiedBy>
  <dcterms:modified xsi:type="dcterms:W3CDTF">2022-02-09T00:33:35Z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FD257ACBECFC44E78CB8AC96901D7D0F</vt:lpwstr>
  </property>
</Properties>
</file>