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天津市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批百家金牌劳动人事争议调解组织评估推荐表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sz w:val="24"/>
          <w:szCs w:val="24"/>
          <w:lang w:eastAsia="zh-CN"/>
        </w:rPr>
        <w:t>调解组织名称：</w:t>
      </w: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sz w:val="24"/>
          <w:szCs w:val="24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楷体_GB2312" w:cs="Times New Roman"/>
          <w:snapToGrid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sz w:val="24"/>
          <w:szCs w:val="24"/>
          <w:lang w:val="en-US" w:eastAsia="zh-CN"/>
        </w:rPr>
        <w:t>调解组织类型：</w:t>
      </w:r>
      <w:r>
        <w:rPr>
          <w:rFonts w:hint="default" w:ascii="Times New Roman" w:hAnsi="Times New Roman" w:eastAsia="楷体_GB2312" w:cs="Times New Roman"/>
          <w:snapToGrid w:val="0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sz w:val="24"/>
          <w:szCs w:val="24"/>
          <w:lang w:val="en-US" w:eastAsia="zh-CN"/>
        </w:rPr>
        <w:t>设立调解组织单位：</w:t>
      </w:r>
    </w:p>
    <w:tbl>
      <w:tblPr>
        <w:tblStyle w:val="6"/>
        <w:tblpPr w:leftFromText="180" w:rightFromText="180" w:vertAnchor="text" w:horzAnchor="page" w:tblpX="1409" w:tblpY="430"/>
        <w:tblOverlap w:val="never"/>
        <w:tblW w:w="14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934"/>
        <w:gridCol w:w="877"/>
        <w:gridCol w:w="854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制度机制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（19分）</w:t>
            </w: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调解组织名称规范、按规定悬挂调解标识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调解工作程序、工作职责和调解员行为规范上墙公布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建立告知引导、调解登记、调解处理、督促履行、回访反馈、档案管理、统计报告、调解员管理、业务学习等制度，形成制度目录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建立重大集体劳动人事争议应急调处机制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专业程度（21分）</w:t>
            </w: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配备至少1名专职调解员或有比较稳定的兼职仲裁员队伍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有法学专家、律师和法官、劳动人事争议仲裁员等专业力量担任兼职调解员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调解员参加人社、工会、工商联、企联等部门组织的有关培训，并培训合格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年度调解成功率达到65</w:t>
            </w:r>
            <w:r>
              <w:rPr>
                <w:rFonts w:hint="default" w:ascii="Times New Roman" w:hAnsi="Times New Roman" w:eastAsia="汉仪瑞意宋简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以上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服务能力（30分）</w:t>
            </w: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开展法律政策宣传、劳动关系体检等预防工作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接待、咨询、受理、调解等环节规范，业务流程和业务术语标准化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使用规范的调解文书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落实调解建议书、调解协议仲裁审查确认、调解协议司法确认等调裁审衔接制度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开展仲裁机构或人民法院委托调解工作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使用全国劳动人事争议在线调解服务平台或其他“互联网+调解”服务平台开展工作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畅通投诉举报渠道，积极回应当事人提出的意见建议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基础保障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落实调解工作经费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设置专门的接待场所和调解室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配备电脑、打印机、复印机等必要办案办公设施设备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落实“以案定补”等激励保障措施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建立电子台账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与劳动人事争议仲裁机构和人民法院实现信息在线互联互通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实现调解协议仲裁审查确认、司法确认的网上流转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合  计</w:t>
            </w: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旗黑-30简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——————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旗黑-30简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9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hanging="1687" w:hangingChars="6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kern w:val="0"/>
          <w:sz w:val="28"/>
          <w:szCs w:val="28"/>
          <w:lang w:val="en-US" w:eastAsia="zh-CN"/>
        </w:rPr>
        <w:t>填表说明：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1.调解组织类型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为：企业劳动争议解调委员会、乡镇（街道）劳动人事争议调解组织、行业性劳动人事争议调解组织、区域性劳动人事争议调解组织和其他劳动人事争议调解组织。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680" w:leftChars="0" w:hanging="1680" w:hangingChars="6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        2.设立调解组织单位：人力资源社会保障、总工会、工商联、企联、商会（协会）等。多个单位联合设立的，一并填写。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680" w:leftChars="0" w:hanging="1680" w:hangingChars="6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        3.各单项分值为该项最高得分。对照评价对单位进行评估，单项得分不低于0分，不高于最高分。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680" w:leftChars="0" w:hanging="1680" w:hangingChars="6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4.年度调解成功率超过60%但未达到65%，本项得4分%；达到65%的，本项得5分；超过65的，本项得6分。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1680" w:leftChars="0" w:hanging="1680" w:hangingChars="600"/>
        <w:jc w:val="left"/>
        <w:textAlignment w:val="auto"/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        6.各调解组织在评价标准之外创新开展的经验做法，可在总体评价中列举说明，也可随工作报告一并报送。</w:t>
      </w:r>
    </w:p>
    <w:sectPr>
      <w:pgSz w:w="16838" w:h="11906" w:orient="landscape"/>
      <w:pgMar w:top="1587" w:right="2268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0310F0-BDF4-4767-BE1A-7BA9F0AC6C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B11D4F-1E25-4FA6-B42F-9A692A368FA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AD56D169-7A6C-4214-B77C-552F202968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DA1E0A9-C11D-4DC8-A522-32D98A9DBA7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E1F2D3D-9CED-48CC-AF70-A0597D1BB7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1AE5DD08-1F29-42C0-B7B4-E9608A46DEAC}"/>
  </w:font>
  <w:font w:name="汉仪瑞意宋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  <w:embedRegular r:id="rId7" w:fontKey="{A36F3F7B-3BEE-4DCD-8FCB-8F9C17C1E7E5}"/>
  </w:font>
  <w:font w:name="汉仪旗黑-3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  <w:embedRegular r:id="rId8" w:fontKey="{953C3421-10E2-41B5-8072-AC98965307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277EA"/>
    <w:rsid w:val="04773B38"/>
    <w:rsid w:val="080277EA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2022-03-16T06:31:00Z</dcterms:created>
  <dc:creator>姚乃嘉</dc:creator>
  <cp:lastModifiedBy>姚乃嘉</cp:lastModifiedBy>
  <dcterms:modified xsi:type="dcterms:W3CDTF">2022-03-16T06:32:32Z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7767C33995744E28AA51051DD1A2B972</vt:lpwstr>
  </property>
</Properties>
</file>