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pStyle w:val="7"/>
        <w:rPr>
          <w:rFonts w:hint="eastAsia"/>
          <w:lang w:val="en-US" w:eastAsia="zh-CN"/>
        </w:rPr>
      </w:pPr>
    </w:p>
    <w:p>
      <w:pPr>
        <w:jc w:val="center"/>
        <w:rPr>
          <w:rFonts w:hint="eastAsia" w:ascii="仿宋_GB2312" w:eastAsia="仿宋_GB2312"/>
          <w:sz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天津市境外职业资格认可目录（2022年版）</w:t>
      </w:r>
    </w:p>
    <w:tbl>
      <w:tblPr>
        <w:tblStyle w:val="8"/>
        <w:tblW w:w="87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193"/>
        <w:gridCol w:w="1470"/>
        <w:gridCol w:w="2007"/>
        <w:gridCol w:w="881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境外职业资格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证书颁发机构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注册专业规划师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中国香港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香港规划师注册管理局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规划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城市规划师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中国澳门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澳门土地工务运输局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规划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证券执业资格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中国证监会签署《证券期货监管合作谅解备忘录》的国家和地区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仅限在自贸试验区范围内施行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（不含联动创新区、联动创新示范基地）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B7B5861-DA30-4B0A-BAE2-C879BFAF81D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27B3A42-8054-4617-B376-040DF5209D2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06B63C1-1DCF-42B1-AD06-0B0872A5E1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30187E15"/>
    <w:rsid w:val="1D505FE1"/>
    <w:rsid w:val="1EF77150"/>
    <w:rsid w:val="30187E15"/>
    <w:rsid w:val="46E738BB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qFormat/>
    <w:uiPriority w:val="0"/>
    <w:pPr>
      <w:widowControl w:val="0"/>
      <w:spacing w:after="120" w:line="480" w:lineRule="auto"/>
      <w:ind w:left="360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"/>
    <w:basedOn w:val="1"/>
    <w:next w:val="6"/>
    <w:qFormat/>
    <w:uiPriority w:val="0"/>
    <w:pPr>
      <w:jc w:val="center"/>
    </w:pPr>
    <w:rPr>
      <w:sz w:val="4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"/>
    <w:basedOn w:val="5"/>
    <w:qFormat/>
    <w:uiPriority w:val="99"/>
    <w:pPr>
      <w:spacing w:line="560" w:lineRule="exact"/>
      <w:ind w:firstLine="721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2022-12-30T10:04:00Z</dcterms:created>
  <dc:creator>琦琦乖乖的</dc:creator>
  <cp:lastModifiedBy>琦琦乖乖的</cp:lastModifiedBy>
  <dcterms:modified xsi:type="dcterms:W3CDTF">2022-12-30T10:05:19Z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F312BE05EEBF4789B597FBDEE43B2347</vt:lpwstr>
  </property>
</Properties>
</file>