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天津市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第</w:t>
      </w:r>
      <w:r>
        <w:rPr>
          <w:rFonts w:hint="eastAsia" w:eastAsia="方正小标宋简体" w:cs="Times New Roman"/>
          <w:snapToGrid w:val="0"/>
          <w:kern w:val="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批百家金牌劳动人事争议调解组织评估推荐表</w:t>
      </w:r>
    </w:p>
    <w:p>
      <w:pPr>
        <w:pStyle w:val="2"/>
        <w:ind w:firstLine="0" w:firstLineChars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4"/>
          <w:szCs w:val="24"/>
          <w:lang w:eastAsia="zh-CN"/>
        </w:rPr>
        <w:t>调解组织名称：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楷体_GB2312" w:cs="Times New Roman"/>
          <w:snapToGrid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4"/>
          <w:szCs w:val="24"/>
          <w:lang w:val="en-US" w:eastAsia="zh-CN"/>
        </w:rPr>
        <w:t>调解组织类型：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24"/>
          <w:szCs w:val="24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4"/>
          <w:szCs w:val="24"/>
          <w:lang w:val="en-US" w:eastAsia="zh-CN"/>
        </w:rPr>
        <w:t>设立调解组织单位：</w:t>
      </w:r>
    </w:p>
    <w:tbl>
      <w:tblPr>
        <w:tblStyle w:val="8"/>
        <w:tblpPr w:leftFromText="180" w:rightFromText="180" w:vertAnchor="text" w:horzAnchor="page" w:tblpX="1409" w:tblpY="430"/>
        <w:tblOverlap w:val="never"/>
        <w:tblW w:w="14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934"/>
        <w:gridCol w:w="877"/>
        <w:gridCol w:w="854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tblHeader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  <w:t>评价标准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制度机制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（19分）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调解组织名称规范、按规定悬挂调解标识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调解工作程序、工作职责和调解员行为规范上墙公布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建立告知引导、调解登记、调解处理、督促履行、回访反馈、档案管理、统计报告、调解员管理、业务学习等制度，形成制度目录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建立重大集体劳动人事争议应急调处机制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专业程度（21分）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配备至少1名专职调解员或有比较稳定的兼职仲裁员队伍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有法学专家、律师和法官、劳动人事争议仲裁员等专业力量担任兼职调解员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调解员参加人社、工会、工商联、企联等部门组织的有关培训，并培训合格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年度调解成功率达到65</w:t>
            </w:r>
            <w:r>
              <w:rPr>
                <w:rFonts w:hint="default" w:ascii="Times New Roman" w:hAnsi="Times New Roman" w:eastAsia="汉仪瑞意宋简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服务能力（30分）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开展法律政策宣传、劳动关系体检等预防工作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接待、咨询、受理、调解等环节规范，业务流程和业务术语标准化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使用规范的调解文书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落实调解建议书、调解协议仲裁审查确认、调解协议司法确认等调裁审衔接制度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开展仲裁机构或人民法院委托调解工作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使用全国劳动人事争议在线调解服务平台或其他“互联网+调解”服务平台开展工作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畅通投诉举报渠道，积极回应当事人提出的意见建议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基础保障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落实调解工作经费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设置专门的接待场所和调解室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配备电脑、打印机、复印机等必要办案办公设施设备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落实“以案定补”等激励保障措施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建立电子台账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与劳动人事争议仲裁机构和人民法院实现信息在线互联互通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tblHeader/>
        </w:trPr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实现调解协议仲裁审查确认、司法确认的网上流转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tblHeader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旗黑-30简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——————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旗黑-30简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tblHeader/>
        </w:trPr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  <w:t>总体评价</w:t>
            </w:r>
          </w:p>
        </w:tc>
        <w:tc>
          <w:tcPr>
            <w:tcW w:w="9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hanging="1687" w:hangingChars="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napToGrid w:val="0"/>
          <w:kern w:val="0"/>
          <w:sz w:val="28"/>
          <w:szCs w:val="28"/>
          <w:lang w:val="en-US" w:eastAsia="zh-CN"/>
        </w:rPr>
        <w:t>填表说明：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1.调解组织类型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为：企业劳动争议解调委员会、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区或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街道（乡镇）劳动人事争议调解组织、行业性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或区域性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劳动人事争议调解组织、其他劳动人事争议调解组织。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80" w:leftChars="0" w:hanging="1680" w:hangingChars="6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       2.设立调解组织单位：人力资源社会保障、总工会、工商联、企联、商会（协会）等。多个单位联合设立的，一并填写。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80" w:leftChars="0" w:hanging="1680" w:hangingChars="6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       3.各单项分值为该项最高得分。对照评价对单位进行评估，单项得分不低于0分，不高于最高分。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80" w:leftChars="0" w:hanging="1680" w:hangingChars="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4.年度调解成功率超过60%但未达到65%，本项得4分；达到65%的，本项得5分；超过65的，本项得6分。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680" w:leftChars="0" w:hanging="1680" w:hangingChars="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default" w:eastAsia="仿宋_GB2312" w:cs="Times New Roman"/>
          <w:snapToGrid w:val="0"/>
          <w:kern w:val="0"/>
          <w:sz w:val="28"/>
          <w:szCs w:val="28"/>
          <w:lang w:val="en" w:eastAsia="zh-CN"/>
        </w:rPr>
        <w:t>5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.各调解组织在评价标准之外创新开展的经验做法，可在总体评价中列举说明，也可随工作报告一并报送。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268" w:bottom="147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劳动人事争议</w:t>
      </w:r>
      <w:r>
        <w:rPr>
          <w:rFonts w:hint="eastAsia" w:eastAsia="方正小标宋简体" w:cs="Times New Roman"/>
          <w:snapToGrid w:val="0"/>
          <w:kern w:val="0"/>
          <w:sz w:val="44"/>
          <w:szCs w:val="44"/>
          <w:lang w:eastAsia="zh-CN"/>
        </w:rPr>
        <w:t>调解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工作报告（模板）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××××××（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调解组织名称）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一、调解组织基本情况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二、开展预防调解工作的主要经验做法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三、工作取得的成效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snapToGrid w:val="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、对加强预防调解工作的意见建议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报告篇幅控制在3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00字以内，相关典型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事迹和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在评价标准之外创新开展的经验做法，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可作为报告附件报送。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劳动人事争议调解典型案例</w:t>
      </w:r>
      <w:r>
        <w:rPr>
          <w:rFonts w:hint="eastAsia" w:eastAsia="方正小标宋简体" w:cs="Times New Roman"/>
          <w:snapToGrid w:val="0"/>
          <w:kern w:val="0"/>
          <w:sz w:val="44"/>
          <w:szCs w:val="44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（案例不少于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楷体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案例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1：……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基本案情：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申请人请求：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调处结果：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案例分析：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典型意义：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0" w:firstLineChars="0"/>
        <w:jc w:val="both"/>
        <w:textAlignment w:val="auto"/>
        <w:rPr>
          <w:rFonts w:hint="default" w:eastAsia="方正黑体_GBK" w:cs="Times New Roman"/>
          <w:snapToGrid w:val="0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eastAsia="方正黑体_GBK" w:cs="Times New Roman"/>
          <w:snapToGrid w:val="0"/>
          <w:kern w:val="0"/>
          <w:sz w:val="32"/>
          <w:szCs w:val="32"/>
          <w:lang w:val="en" w:eastAsia="zh-CN"/>
        </w:rPr>
        <w:t>4</w:t>
      </w:r>
    </w:p>
    <w:p>
      <w:pPr>
        <w:pStyle w:val="2"/>
        <w:rPr>
          <w:rFonts w:hint="default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关于推荐天津市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第</w:t>
      </w:r>
      <w:r>
        <w:rPr>
          <w:rFonts w:hint="eastAsia" w:eastAsia="方正小标宋简体" w:cs="Times New Roman"/>
          <w:snapToGrid w:val="0"/>
          <w:kern w:val="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批百家金牌劳动人事争议调解组织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的函（模板）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市人社局：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按照《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市人社局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关于做好第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百家金牌劳动人事争议调解组织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培育选树工作的通知》有关要求，为切实做好选树第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批百家金牌劳动人事争议调解组织工作，维护基层劳动人事争议调解组织的形象声誉和社会公信力，在各调解组织自评自荐基础上，我单位（归口管理的区人社局或市级行业主管部门）组织进行了评选，并会同相关单位对各推荐对象近两年所属工作人员是否涉及党纪、政纪处分或严重违反劳动人事争议调解员行为规范等问题，企业调解委员会所在企业是否存在欠薪、未缴或欠缴社会保险等问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进行了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核。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审核结果不影响推荐对象参与全国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第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百家金牌劳动人事争议调解组织评选。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现将审核合格的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推荐对象名单及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相关材料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一并报送你局。名单如下：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.………………；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（公 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日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5" w:type="default"/>
      <w:footerReference r:id="rId6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71AC49-7C45-4371-950F-E614D129BC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79E3F8-74B2-4A39-8E3A-90D3147D22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515DD29-86E4-4219-AB45-25B1FC4587B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44A9C5B-186D-4DEA-B679-1D365ADF0A19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C2F5961C-7DB1-4A27-A55D-30C3430F8735}"/>
  </w:font>
  <w:font w:name="汉仪瑞意宋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  <w:embedRegular r:id="rId6" w:fontKey="{9B99535A-4022-4F86-B7AA-D0EB3A8F398E}"/>
  </w:font>
  <w:font w:name="汉仪旗黑-30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  <w:embedRegular r:id="rId7" w:fontKey="{2631D90D-8601-465B-956E-CEDF2DA38E5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DFF2CF9"/>
    <w:rsid w:val="2E1D27AD"/>
    <w:rsid w:val="3BDF091F"/>
    <w:rsid w:val="3C7F6F68"/>
    <w:rsid w:val="55F8DDED"/>
    <w:rsid w:val="57379303"/>
    <w:rsid w:val="578F79C3"/>
    <w:rsid w:val="586D09FC"/>
    <w:rsid w:val="5DE07953"/>
    <w:rsid w:val="6FBBF1A3"/>
    <w:rsid w:val="7FAEFA93"/>
    <w:rsid w:val="C7B3FA12"/>
    <w:rsid w:val="D8FB2AC1"/>
    <w:rsid w:val="F5FFD7CB"/>
    <w:rsid w:val="FFFEC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3537</Words>
  <Characters>3658</Characters>
  <Lines>1</Lines>
  <Paragraphs>1</Paragraphs>
  <TotalTime>9</TotalTime>
  <ScaleCrop>false</ScaleCrop>
  <LinksUpToDate>false</LinksUpToDate>
  <CharactersWithSpaces>3786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琦琦乖乖的</cp:lastModifiedBy>
  <cp:lastPrinted>2023-03-10T14:46:00Z</cp:lastPrinted>
  <dcterms:modified xsi:type="dcterms:W3CDTF">2023-03-13T06:53:36Z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6684A358ACB846ABB84CD3DD17F78486</vt:lpwstr>
  </property>
</Properties>
</file>