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ind w:firstLine="0" w:firstLineChars="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pStyle w:val="3"/>
        <w:adjustRightInd w:val="0"/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根治欠薪冬季专项行动情况</w:t>
      </w:r>
    </w:p>
    <w:p>
      <w:pPr>
        <w:pStyle w:val="3"/>
        <w:adjustRightInd w:val="0"/>
        <w:snapToGrid w:val="0"/>
        <w:ind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填报单位名称（盖章）：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填报时间：</w:t>
      </w:r>
    </w:p>
    <w:tbl>
      <w:tblPr>
        <w:tblStyle w:val="7"/>
        <w:tblpPr w:leftFromText="180" w:rightFromText="180" w:vertAnchor="text" w:horzAnchor="page" w:tblpX="1288" w:tblpY="115"/>
        <w:tblOverlap w:val="never"/>
        <w:tblW w:w="151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005"/>
        <w:gridCol w:w="780"/>
        <w:gridCol w:w="1035"/>
        <w:gridCol w:w="1515"/>
        <w:gridCol w:w="720"/>
        <w:gridCol w:w="1140"/>
        <w:gridCol w:w="570"/>
        <w:gridCol w:w="945"/>
        <w:gridCol w:w="540"/>
        <w:gridCol w:w="885"/>
        <w:gridCol w:w="1020"/>
        <w:gridCol w:w="796"/>
        <w:gridCol w:w="720"/>
        <w:gridCol w:w="748"/>
        <w:gridCol w:w="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04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检查用人单位情况</w:t>
            </w:r>
          </w:p>
        </w:tc>
        <w:tc>
          <w:tcPr>
            <w:tcW w:w="480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解决情况</w:t>
            </w:r>
          </w:p>
        </w:tc>
        <w:tc>
          <w:tcPr>
            <w:tcW w:w="253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行政处理处罚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涉嫌犯罪案件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0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(户)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职工</w:t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人数</w:t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(万人)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解决欠薪问题数量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解决欠薪问题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涉及人数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(万人)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解决欠薪问题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涉及金额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(万元)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责令改正(件)</w:t>
            </w:r>
          </w:p>
        </w:tc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行政处理决定(件)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行政处罚决定(件)</w:t>
            </w:r>
          </w:p>
        </w:tc>
        <w:tc>
          <w:tcPr>
            <w:tcW w:w="7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(件)</w:t>
            </w:r>
          </w:p>
        </w:tc>
        <w:tc>
          <w:tcPr>
            <w:tcW w:w="7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公安机关立案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0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农民工人数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(万人)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(件)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通过协调等非立案方式解决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(件)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其中：农民工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其中：农民工</w:t>
            </w: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工程建设领域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182" w:type="dxa"/>
            <w:gridSpan w:val="1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 xml:space="preserve">其他情况： </w:t>
            </w:r>
          </w:p>
          <w:p>
            <w:pPr>
              <w:pStyle w:val="3"/>
              <w:adjustRightInd w:val="0"/>
              <w:snapToGrid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1.检查政府投资项目共______个，查实存在欠薪项目______个（拖欠工资______万元，涉及______万人）；检查国企项目共_____个，查实存在欠薪项目______个（拖欠工资_____万元，涉及_____万人）；</w:t>
            </w:r>
          </w:p>
          <w:p>
            <w:pPr>
              <w:pStyle w:val="3"/>
              <w:adjustRightInd w:val="0"/>
              <w:snapToGrid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2.解决新就业形态拖欠劳动报酬案件______件，涉及______万人_____万元；</w:t>
            </w:r>
          </w:p>
          <w:p>
            <w:pPr>
              <w:pStyle w:val="3"/>
              <w:adjustRightInd w:val="0"/>
              <w:snapToGrid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3.通过劳动人事争议调解组织和仲裁机构解决欠薪案件______件，涉及______万人_____万元；</w:t>
            </w:r>
          </w:p>
          <w:p>
            <w:pPr>
              <w:pStyle w:val="3"/>
              <w:adjustRightInd w:val="0"/>
              <w:snapToGrid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4.通过法院开展集中执行活动解决欠薪案件______件，涉及______万人_____万元；</w:t>
            </w:r>
          </w:p>
          <w:p>
            <w:pPr>
              <w:pStyle w:val="3"/>
              <w:adjustRightInd w:val="0"/>
              <w:snapToGrid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5.行业主管部门解决欠薪问题______件，涉及______万人_____万元；</w:t>
            </w:r>
          </w:p>
          <w:p>
            <w:pPr>
              <w:pStyle w:val="3"/>
              <w:adjustRightInd w:val="0"/>
              <w:snapToGrid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6.集中接访接收欠薪线索______件；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7.公布欠薪严重违法单位数：______户，列入欠薪失信联合惩戒对象名单管理______件。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ab/>
            </w:r>
          </w:p>
        </w:tc>
      </w:tr>
    </w:tbl>
    <w:p>
      <w:pPr>
        <w:pStyle w:val="3"/>
        <w:adjustRightInd w:val="0"/>
        <w:snapToGrid w:val="0"/>
        <w:ind w:firstLine="0"/>
        <w:rPr>
          <w:rFonts w:hint="eastAsia" w:ascii="仿宋_GB2312" w:eastAsia="仿宋_GB2312"/>
          <w:sz w:val="32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 xml:space="preserve">单位负责人：                </w:t>
      </w:r>
      <w:r>
        <w:rPr>
          <w:rFonts w:hint="eastAsia" w:ascii="宋体" w:hAnsi="宋体" w:cs="宋体"/>
          <w:color w:val="000000"/>
          <w:kern w:val="2"/>
          <w:sz w:val="28"/>
          <w:szCs w:val="28"/>
          <w:u w:val="none"/>
          <w:lang w:eastAsia="zh-CN" w:bidi="ar"/>
        </w:rPr>
        <w:t>科</w:t>
      </w:r>
      <w:r>
        <w:rPr>
          <w:rFonts w:hint="eastAsia" w:ascii="宋体" w:hAnsi="宋体" w:eastAsia="宋体" w:cs="宋体"/>
          <w:sz w:val="28"/>
          <w:szCs w:val="28"/>
          <w:lang w:bidi="ar"/>
        </w:rPr>
        <w:t>（队）负责人：              制表人：             联系电话：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</w:p>
    <w:p>
      <w:pPr>
        <w:pStyle w:val="3"/>
        <w:adjustRightInd w:val="0"/>
        <w:snapToGrid w:val="0"/>
        <w:ind w:firstLine="0"/>
        <w:rPr>
          <w:rFonts w:hint="eastAsia" w:ascii="宋体" w:hAnsi="宋体" w:eastAsia="宋体" w:cs="宋体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none"/>
          <w:lang w:bidi="ar"/>
        </w:rPr>
        <w:t>备注：1.国企项目指中央和地方监管的国有（含国有控股）企业作为建设单位的工程项目（标段）；</w:t>
      </w:r>
    </w:p>
    <w:p>
      <w:pPr>
        <w:pStyle w:val="3"/>
        <w:adjustRightInd w:val="0"/>
        <w:snapToGrid w:val="0"/>
        <w:ind w:firstLine="630" w:firstLineChars="300"/>
        <w:rPr>
          <w:rFonts w:hint="eastAsia" w:ascii="宋体" w:hAnsi="宋体" w:eastAsia="宋体" w:cs="宋体"/>
          <w:color w:val="000000"/>
          <w:kern w:val="0"/>
          <w:sz w:val="21"/>
          <w:szCs w:val="21"/>
          <w:u w:val="none"/>
          <w:lang w:bidi="ar"/>
        </w:rPr>
        <w:sectPr>
          <w:footerReference r:id="rId3" w:type="default"/>
          <w:pgSz w:w="16838" w:h="11906" w:orient="landscape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21" w:charSpace="0"/>
        </w:sect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none"/>
          <w:lang w:bidi="ar"/>
        </w:rPr>
        <w:t>2.政府投资项目和国企项目有重合的分别单独统计</w:t>
      </w:r>
    </w:p>
    <w:p>
      <w:pPr>
        <w:spacing w:line="360" w:lineRule="auto"/>
        <w:ind w:right="210" w:rightChars="100" w:firstLine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8371CC-7FF6-4682-97A9-C5736619B1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248E05A-14B5-4F83-AEB7-5588EF13509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CF57733-DD3B-45EA-86DD-220A4DB0EF6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D99C9AD"/>
    <w:rsid w:val="213C9836"/>
    <w:rsid w:val="27DC163C"/>
    <w:rsid w:val="29E39C70"/>
    <w:rsid w:val="2FFFE690"/>
    <w:rsid w:val="32FE87D3"/>
    <w:rsid w:val="3B8C17C0"/>
    <w:rsid w:val="3F7DEA1A"/>
    <w:rsid w:val="4256579A"/>
    <w:rsid w:val="45697101"/>
    <w:rsid w:val="5DAF4C1B"/>
    <w:rsid w:val="5EDC1865"/>
    <w:rsid w:val="6FF964BB"/>
    <w:rsid w:val="73BFE7BF"/>
    <w:rsid w:val="76FF42F7"/>
    <w:rsid w:val="7BDDA1B2"/>
    <w:rsid w:val="7E8EE56B"/>
    <w:rsid w:val="7FA7BA92"/>
    <w:rsid w:val="9FBF2DB5"/>
    <w:rsid w:val="AFF293D3"/>
    <w:rsid w:val="CFF97AA6"/>
    <w:rsid w:val="DF352F50"/>
    <w:rsid w:val="DFBF85C4"/>
    <w:rsid w:val="E7F1ADD9"/>
    <w:rsid w:val="EBFB82D8"/>
    <w:rsid w:val="ECFA3083"/>
    <w:rsid w:val="F3B67DA9"/>
    <w:rsid w:val="F9F7CA40"/>
    <w:rsid w:val="F9FFD7F4"/>
    <w:rsid w:val="FEDEE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9</TotalTime>
  <ScaleCrop>false</ScaleCrop>
  <LinksUpToDate>false</LinksUpToDate>
  <CharactersWithSpaces>229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2020-09-19T14:56:00Z</dcterms:created>
  <dc:creator>linhong</dc:creator>
  <cp:lastModifiedBy>琦琦乖乖的</cp:lastModifiedBy>
  <cp:lastPrinted>2023-11-16T11:07:00Z</cp:lastPrinted>
  <dcterms:modified xsi:type="dcterms:W3CDTF">2023-11-16T07:01:42Z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B86BB9DB4E4842AD83639D3C09633C0F_13</vt:lpwstr>
  </property>
</Properties>
</file>