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文星简小标宋"/>
          <w:bCs/>
          <w:szCs w:val="44"/>
          <w:highlight w:val="none"/>
        </w:rPr>
      </w:pPr>
      <w:r>
        <w:rPr>
          <w:rFonts w:eastAsia="文星简小标宋"/>
          <w:bCs/>
          <w:szCs w:val="44"/>
          <w:highlight w:val="none"/>
        </w:rPr>
        <w:t>市人社局关于开展202</w:t>
      </w:r>
      <w:r>
        <w:rPr>
          <w:rFonts w:hint="default" w:eastAsia="文星简小标宋"/>
          <w:bCs/>
          <w:szCs w:val="44"/>
          <w:highlight w:val="none"/>
          <w:lang w:val="en" w:eastAsia="zh-CN"/>
        </w:rPr>
        <w:t>3</w:t>
      </w:r>
      <w:r>
        <w:rPr>
          <w:rFonts w:eastAsia="文星简小标宋"/>
          <w:bCs/>
          <w:szCs w:val="44"/>
          <w:highlight w:val="none"/>
        </w:rPr>
        <w:t>年民营企业博士后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文星简小标宋"/>
          <w:bCs/>
          <w:szCs w:val="44"/>
          <w:highlight w:val="none"/>
        </w:rPr>
      </w:pPr>
      <w:r>
        <w:rPr>
          <w:rFonts w:eastAsia="文星简小标宋"/>
          <w:bCs/>
          <w:szCs w:val="44"/>
          <w:highlight w:val="none"/>
        </w:rPr>
        <w:t>科研工作站建站资助申报工作的通知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文星简小标宋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  <w:highlight w:val="none"/>
        </w:rPr>
        <w:t>各区人力资源和社会保障局，</w:t>
      </w:r>
      <w:r>
        <w:rPr>
          <w:rFonts w:hint="eastAsia" w:ascii="Times New Roman" w:eastAsia="仿宋_GB2312"/>
          <w:sz w:val="32"/>
          <w:highlight w:val="none"/>
          <w:lang w:val="en-US" w:eastAsia="zh-CN"/>
        </w:rPr>
        <w:t>有关单位</w:t>
      </w:r>
      <w:r>
        <w:rPr>
          <w:rFonts w:hint="eastAsia" w:ascii="Times New Roman" w:eastAsia="仿宋_GB2312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仿宋_GB2312"/>
          <w:sz w:val="32"/>
          <w:highlight w:val="none"/>
        </w:rPr>
      </w:pPr>
      <w:r>
        <w:rPr>
          <w:rFonts w:hint="eastAsia" w:ascii="Times New Roman" w:eastAsia="仿宋_GB2312"/>
          <w:sz w:val="32"/>
          <w:highlight w:val="none"/>
          <w:lang w:val="en-US" w:eastAsia="zh-CN"/>
        </w:rPr>
        <w:t xml:space="preserve">    </w:t>
      </w:r>
      <w:r>
        <w:rPr>
          <w:rFonts w:hint="eastAsia" w:ascii="Times New Roman" w:eastAsia="仿宋_GB2312"/>
          <w:sz w:val="32"/>
          <w:highlight w:val="none"/>
        </w:rPr>
        <w:t>为</w:t>
      </w:r>
      <w:r>
        <w:rPr>
          <w:rFonts w:hint="eastAsia" w:eastAsia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贯彻落实习近平总书记视察天津重要讲话精神</w:t>
      </w:r>
      <w:r>
        <w:rPr>
          <w:rFonts w:hint="eastAsia" w:eastAsia="仿宋_GB2312"/>
          <w:sz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18"/>
          <w:lang w:val="en" w:eastAsia="zh-CN"/>
        </w:rPr>
        <w:t>聚焦“四个善作善成”重要要求</w:t>
      </w:r>
      <w:r>
        <w:rPr>
          <w:rFonts w:hint="eastAsia" w:eastAsia="仿宋_GB2312"/>
          <w:sz w:val="32"/>
          <w:highlight w:val="none"/>
          <w:lang w:eastAsia="zh-CN"/>
        </w:rPr>
        <w:t>，发挥科技型</w:t>
      </w:r>
      <w:r>
        <w:rPr>
          <w:rFonts w:hint="eastAsia" w:ascii="Times New Roman" w:eastAsia="仿宋_GB2312"/>
          <w:sz w:val="32"/>
          <w:highlight w:val="none"/>
        </w:rPr>
        <w:t>民营企业</w:t>
      </w:r>
      <w:r>
        <w:rPr>
          <w:rFonts w:hint="eastAsia" w:eastAsia="仿宋_GB2312"/>
          <w:sz w:val="32"/>
          <w:highlight w:val="none"/>
          <w:lang w:eastAsia="zh-CN"/>
        </w:rPr>
        <w:t>引领支撑作用</w:t>
      </w:r>
      <w:r>
        <w:rPr>
          <w:rFonts w:hint="eastAsia" w:ascii="Times New Roman" w:eastAsia="仿宋_GB2312"/>
          <w:sz w:val="32"/>
          <w:highlight w:val="none"/>
        </w:rPr>
        <w:t>，进一步激发民营企业</w:t>
      </w:r>
      <w:r>
        <w:rPr>
          <w:rFonts w:hint="eastAsia" w:eastAsia="仿宋_GB2312"/>
          <w:sz w:val="32"/>
          <w:highlight w:val="none"/>
          <w:lang w:eastAsia="zh-CN"/>
        </w:rPr>
        <w:t>创新</w:t>
      </w:r>
      <w:r>
        <w:rPr>
          <w:rFonts w:hint="eastAsia" w:ascii="Times New Roman" w:eastAsia="仿宋_GB2312"/>
          <w:sz w:val="32"/>
          <w:highlight w:val="none"/>
        </w:rPr>
        <w:t>活力和</w:t>
      </w:r>
      <w:r>
        <w:rPr>
          <w:rFonts w:hint="eastAsia" w:eastAsia="仿宋_GB2312"/>
          <w:sz w:val="32"/>
          <w:highlight w:val="none"/>
          <w:lang w:eastAsia="zh-CN"/>
        </w:rPr>
        <w:t>产学研深度融合</w:t>
      </w:r>
      <w:r>
        <w:rPr>
          <w:rFonts w:hint="eastAsia" w:ascii="Times New Roman" w:eastAsia="仿宋_GB2312"/>
          <w:sz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市人社局</w:t>
      </w:r>
      <w:r>
        <w:rPr>
          <w:rFonts w:hint="eastAsia" w:eastAsia="仿宋_GB2312"/>
          <w:sz w:val="32"/>
          <w:highlight w:val="none"/>
          <w:lang w:eastAsia="zh-CN"/>
        </w:rPr>
        <w:t>决定</w:t>
      </w:r>
      <w:r>
        <w:rPr>
          <w:rFonts w:hint="eastAsia" w:ascii="Times New Roman" w:eastAsia="仿宋_GB2312"/>
          <w:sz w:val="32"/>
          <w:highlight w:val="none"/>
        </w:rPr>
        <w:t>开展202</w:t>
      </w:r>
      <w:r>
        <w:rPr>
          <w:rFonts w:hint="default" w:eastAsia="仿宋_GB2312"/>
          <w:sz w:val="32"/>
          <w:highlight w:val="none"/>
          <w:lang w:val="en" w:eastAsia="zh-CN"/>
        </w:rPr>
        <w:t>3</w:t>
      </w:r>
      <w:r>
        <w:rPr>
          <w:rFonts w:hint="eastAsia" w:ascii="Times New Roman" w:eastAsia="仿宋_GB2312"/>
          <w:sz w:val="32"/>
          <w:highlight w:val="none"/>
        </w:rPr>
        <w:t>年度民营企业博士后科研工作站建站资助申报工作</w:t>
      </w:r>
      <w:r>
        <w:rPr>
          <w:rFonts w:hint="eastAsia" w:eastAsia="仿宋_GB2312"/>
          <w:sz w:val="32"/>
          <w:highlight w:val="none"/>
          <w:lang w:eastAsia="zh-CN"/>
        </w:rPr>
        <w:t>。</w:t>
      </w:r>
      <w:r>
        <w:rPr>
          <w:rFonts w:hint="eastAsia" w:ascii="Times New Roman" w:eastAsia="仿宋_GB2312"/>
          <w:sz w:val="32"/>
          <w:highlight w:val="none"/>
        </w:rPr>
        <w:t>现就有关事项通知如下：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仿宋"/>
          <w:b/>
          <w:sz w:val="32"/>
          <w:szCs w:val="32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一、申报范围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经全国博士后管理委员会办公室批准，已建立博士后科研工作站（分站）并具备基本运行条件</w:t>
      </w:r>
      <w:r>
        <w:rPr>
          <w:rFonts w:hint="eastAsia" w:ascii="Times New Roman" w:hAnsi="Times New Roman" w:cs="仿宋_GB2312"/>
          <w:color w:val="auto"/>
          <w:highlight w:val="none"/>
        </w:rPr>
        <w:t>。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对已获得此项资助的博士后建站单位不再重复资助；申报本资助的同一家企业主体，不能同时申报202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年度院士工作站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、院士专家协同创新中心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资助项目。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ascii="Times New Roman" w:hAnsi="Times New Roman" w:eastAsia="黑体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二、申报条件</w:t>
      </w:r>
    </w:p>
    <w:p>
      <w:pPr>
        <w:pStyle w:val="6"/>
        <w:keepNext w:val="0"/>
        <w:keepLines w:val="0"/>
        <w:pageBreakBefore w:val="0"/>
        <w:widowControl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（一）申请资助的博士后科研工作站须为民营企业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（民营股份占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51%以上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（二）博士后工作制度体系健全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，管理完善。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已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有在站博士后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1人以上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（四）须在天津市市场主体信用信息公示系统中“信用风险等级”为良好。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ascii="Times New Roman" w:hAnsi="Times New Roman" w:eastAsia="黑体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三、资助金额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给予符合条件的民营企业一次性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30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万元建站资助，资助资金由市、区财政各拨付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四、申报材料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（一）各区人社局出具推荐函（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份）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（二）《我市2023年博士后科研工作站（分站）民营企业资助项目申请表》（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详见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附件，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以下简称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申请表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（三）本单位博士后科研工作站建站批复文件、博士后工作管理制度；中国博士后网上办公系统打印的《博士后研究人员进站备案证明》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（四）本企业为民营企业的相关佐证材料，包括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营业执照、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公司章程、股权结构、股东详细信息及出资额度和比例等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（五）本企业当年在天津市市场主体信用信息公示系统中“信用风险等级”为良好的截图佐证材料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其中，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（二）至（五）申报材料需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要按以上先后顺序排列，编辑页码，添加目录，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装订成册，一式两份。《申请表》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Excel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版发至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互联网政务邮箱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srsjzyjsryglc@tj.gov.cn。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ascii="Times New Roman" w:hAnsi="Times New Roman" w:eastAsia="黑体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五、申报程序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（一）组织申报。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highlight w:val="none"/>
        </w:rPr>
        <w:t>各区人社局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highlight w:val="none"/>
          <w:lang w:eastAsia="zh-CN"/>
        </w:rPr>
        <w:t>负责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highlight w:val="none"/>
          <w:lang w:eastAsia="zh-CN"/>
        </w:rPr>
        <w:t>本区</w:t>
      </w:r>
      <w:r>
        <w:rPr>
          <w:rFonts w:hint="eastAsia" w:ascii="Times New Roman" w:hAnsi="Times New Roman" w:eastAsia="仿宋_GB2312" w:cs="仿宋"/>
          <w:b w:val="0"/>
          <w:bCs/>
          <w:sz w:val="32"/>
          <w:szCs w:val="32"/>
          <w:highlight w:val="none"/>
        </w:rPr>
        <w:t>建站民营企业申报，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申报企业将相关材料装订成册后报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企业注册地所属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区人社局。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  <w:lang w:eastAsia="zh-CN"/>
        </w:rPr>
        <w:t>审核备案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各区人社局对企业申报材料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进行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审核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后，报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本区民营经济主管部门（区民营办）和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财政局备案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并联合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本区民营经济主管部门（区民营办）和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财政局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深入企业实地查访，确保推荐企业运营状况良好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  <w:lang w:eastAsia="zh-CN"/>
        </w:rPr>
        <w:t>推荐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报送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各区人社局出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具推荐函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明确推荐企业为民营企业、信用等级良好、能够保证资助资金配套到位等，同时，将相关材料报送市人社局。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_GB2312" w:cs="仿宋"/>
          <w:bCs/>
          <w:sz w:val="32"/>
          <w:szCs w:val="32"/>
          <w:highlight w:val="none"/>
        </w:rPr>
        <w:t>）审核确定。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市人社局会同市发展改革委进行审核，经公示无异议的，确定为资助企业。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Style w:val="9"/>
          <w:rFonts w:ascii="Times New Roman" w:hAnsi="Times New Roman" w:eastAsia="黑体"/>
          <w:highlight w:val="none"/>
        </w:rPr>
      </w:pPr>
      <w:r>
        <w:rPr>
          <w:rStyle w:val="9"/>
          <w:rFonts w:hint="eastAsia" w:ascii="Times New Roman" w:hAnsi="Times New Roman" w:eastAsia="黑体" w:cs="仿宋"/>
          <w:b w:val="0"/>
          <w:sz w:val="32"/>
          <w:szCs w:val="32"/>
          <w:highlight w:val="none"/>
        </w:rPr>
        <w:t>六、有关事宜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各区、各单位要高度重视，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组织申报企业如实填写有关材料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严格审核把关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对于申报材料弄虚作假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单位，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一经发现立即取消推荐资格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" w:eastAsia="zh-CN"/>
        </w:rPr>
        <w:t>各区人社局要会同本区民营经济主管部门（区民营办）主动对接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本区财政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落实配套资金。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（三）请各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</w:rPr>
        <w:t>区人社局于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仿宋"/>
          <w:bCs/>
          <w:color w:val="auto"/>
          <w:sz w:val="32"/>
          <w:szCs w:val="32"/>
          <w:highlight w:val="none"/>
          <w:lang w:val="en" w:eastAsia="zh-CN"/>
        </w:rPr>
        <w:t>15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  <w:lang w:val="en" w:eastAsia="zh-CN"/>
        </w:rPr>
        <w:t>五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  <w:lang w:val="en-US" w:eastAsia="zh-CN"/>
        </w:rPr>
        <w:t>17：00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highlight w:val="none"/>
        </w:rPr>
        <w:t>前，将相关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材料报送市人社局专业技术人员管理处，逾期不再受理。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 xml:space="preserve">联 系 人：市人社局专业技术人员管理处 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赵文清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郭泓伯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83218401、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8321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>8124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联系地址：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天津市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和平区建设路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18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号</w:t>
      </w: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1103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eastAsia="zh-CN"/>
        </w:rPr>
        <w:t>政务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邮箱：srsjzyjsryglc@tj.gov.cn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附件：我市2023年博士后科研工作站（分站）民营企业</w:t>
      </w:r>
      <w:bookmarkStart w:id="0" w:name="_GoBack"/>
      <w:bookmarkEnd w:id="0"/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资助项目申请表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 xml:space="preserve">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960" w:firstLineChars="1550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仿宋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4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3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仿宋"/>
          <w:bCs/>
          <w:sz w:val="32"/>
          <w:szCs w:val="32"/>
          <w:highlight w:val="none"/>
          <w:lang w:val="en" w:eastAsia="zh-CN"/>
        </w:rPr>
        <w:t>1</w:t>
      </w:r>
      <w:r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（此件主动公开）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bCs/>
          <w:sz w:val="32"/>
          <w:szCs w:val="32"/>
          <w:highlight w:val="none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1BE86A11"/>
    <w:rsid w:val="1BE86A11"/>
    <w:rsid w:val="1D505FE1"/>
    <w:rsid w:val="1EF77150"/>
    <w:rsid w:val="25CF41F4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9">
    <w:name w:val="Strong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2024-03-04T07:27:00Z</dcterms:created>
  <dc:creator>Yan</dc:creator>
  <cp:lastModifiedBy>Yan</cp:lastModifiedBy>
  <dcterms:modified xsi:type="dcterms:W3CDTF">2024-03-04T07:46:19Z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530DAD8CCC9A4811A8B50A8749ED0579_11</vt:lpwstr>
  </property>
</Properties>
</file>