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北京市人社局天津市人社局河北省人社厅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京津冀高技能人才队伍建设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专家库入库专家的通知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北京市、天津市、河北省各区</w:t>
      </w:r>
      <w:r>
        <w:rPr>
          <w:rFonts w:hint="eastAsia" w:eastAsia="仿宋_GB2312" w:cs="Times New Roman"/>
          <w:sz w:val="32"/>
          <w:szCs w:val="32"/>
          <w:lang w:eastAsia="zh-CN"/>
        </w:rPr>
        <w:t>（市）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</w:t>
      </w:r>
      <w:r>
        <w:rPr>
          <w:rFonts w:hint="eastAsia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社会保障局，各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zh-CN"/>
        </w:rPr>
        <w:t>普通高校、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职业院校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zh-CN"/>
        </w:rPr>
        <w:t>（含技工院校）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年是京津冀协同发展重大战略实施十周年。为深入学习贯彻习近平总书记关于技能人才队伍建设的一系列</w:t>
      </w:r>
      <w:r>
        <w:rPr>
          <w:rFonts w:hint="eastAsia" w:eastAsia="仿宋_GB2312" w:cs="Times New Roman"/>
          <w:sz w:val="32"/>
          <w:szCs w:val="32"/>
          <w:lang w:val="en" w:eastAsia="zh-CN"/>
        </w:rPr>
        <w:t>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指示批示，推动京津冀协同发展走深走实，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加速培养更多高素质技术技能人才、能工巧匠、大国工匠，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打造“技能京津冀”，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2024年京津冀职业能力建设工作联席会研究，拟建设京津冀高技能人才队伍建设专家库。现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入库专家遴选工作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有关事项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一、遴选范围及行业领域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zh-CN"/>
        </w:rPr>
        <w:t>（一）遴选范围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zh-CN"/>
        </w:rPr>
        <w:t>京津冀区域内各普通高校、职业院校（含技工院校）、研究院（所）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/>
        </w:rPr>
        <w:t>、行业企业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zh-CN"/>
        </w:rPr>
        <w:t>及有关单位的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专业技术人才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、高技能人才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zh-CN" w:eastAsia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zh-CN"/>
        </w:rPr>
        <w:t>（二）</w:t>
      </w: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zh-CN" w:eastAsia="zh-CN"/>
        </w:rPr>
        <w:t>行业领域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农、林、牧、渔业，采矿业，制造业，电力、热力生产和供应业，水利、环境和公共设施管理业，建筑业，批发和零售业，交通运输、仓储和邮政业，住宿和餐饮业，信息传输、软件和信息技术服务业，租赁和商务服务业，水利、环境和公共设施管理业，文化、体育和娱乐业等行业领域。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二、遴选数量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第一批入库专家拟遴选知名专家100名，其中：北京市30名、天津市40名、河北省30名。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三、申报条件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zh-CN"/>
        </w:rPr>
        <w:t>（一）基本条件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遵守国家宪法和法律，具有良好的政治品格和职业道德；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作风正派，办事公道，愿以独立身份参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与京津冀三地技能人才队伍建设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有关工作，能认真履行职责，遵守工作纪律，并接受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京津冀三地人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的监督管理；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能熟练掌握和正确执行国家及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京津冀三地技能人才队伍建设相关政策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；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身体健康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违纪违法等不良记录。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zh-CN"/>
        </w:rPr>
        <w:t>（二）专业条件（申请人须符合下列条件之一）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在本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领域具有一定理论造诣和丰富实践经验，熟悉相关技术技能标准、规范的技术技能人才，一般应取得本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行业相关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职业（工种）高级技师及以上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职业资格（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技能等级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或高级及以上专业技术职称，具有相关领域10年以上从业经验；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中华技能大奖、全国技术能手、全国劳动模范、全国五一劳动奖章、全国三八红旗手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等称号或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享受国务院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特殊津贴的高技能人才；</w:t>
      </w:r>
    </w:p>
    <w:p>
      <w:pPr>
        <w:pStyle w:val="7"/>
        <w:autoSpaceDE w:val="0"/>
        <w:autoSpaceDN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获得世界技能大赛金银铜、优胜奖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专家组成员、教练组成员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全国技能大赛金银铜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教练组长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省部级及以上职业技能竞赛裁判长。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四、入库专家主要职责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共同服务于三地高技能人才队伍建设，为三地技能人才队伍建设政策制定提供决策咨询，参与三地有关技能人才队伍建设评审，支持三地技术技能交流，服务三地职业技能竞赛等活动。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、推荐程序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（一）相关企业、职业院校、技工院校等根据实际情况填写《京津冀高技能人才队伍建设专家推荐表》（见附件），向本省（市）人社厅（局）报送。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（二）各省（市）人社厅（局）对推荐材料进行初审，经综合考评后，确定本省（市）入库专家名单。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（三）京津冀人社厅（局）联合发文公布入库专家名单并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为专家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颁发聘书。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、工作要求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（一）请相关单位高度重视，第一批申报人员于202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日（星期五）前，将《京津冀高技能人才队伍建设专家推荐表》和相关佐证材料报送相关省（市）人社厅（局）。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（二）相关材料要真实、准确，若发现虚假申报的，将取消其推荐资格。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七、联系方式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（一）北京市人社局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联 系 人：李鹏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010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55585168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lipeng_8@rsj.beijing.gov.cn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（二）天津市人社局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王媛、张恒荣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联系电话：（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022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24736501、（022）83218256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jy-user065@tj.gov.cn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（三）河北省人社厅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联 系 人：李昌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0311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66908822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hebrstzjc@163.com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附件：京津冀高技能人才队伍建设专家推荐表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lang w:eastAsia="zh-CN"/>
        </w:rPr>
        <w:t>北京市人社局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lang w:val="en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lang w:val="en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lang w:eastAsia="zh-CN"/>
        </w:rPr>
        <w:t>天津市人社局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lang w:val="en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lang w:val="en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lang w:eastAsia="zh-CN"/>
        </w:rPr>
        <w:t>河北省人社厅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4160" w:firstLineChars="13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/>
          <w:lang w:val="en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lang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/>
          <w:lang w:eastAsia="zh-CN"/>
        </w:rPr>
        <w:t>年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/>
          <w:lang w:eastAsia="zh-CN"/>
        </w:rPr>
        <w:t>月</w:t>
      </w:r>
      <w:r>
        <w:rPr>
          <w:rFonts w:hint="default" w:ascii="Times New Roman" w:hAnsi="Times New Roman" w:cs="Times New Roman"/>
          <w:b w:val="0"/>
          <w:bCs/>
          <w:lang w:val="en" w:eastAsia="zh-CN"/>
        </w:rPr>
        <w:t>10</w:t>
      </w:r>
      <w:r>
        <w:rPr>
          <w:rFonts w:hint="eastAsia" w:ascii="Times New Roman" w:hAnsi="Times New Roman" w:eastAsia="仿宋_GB2312" w:cs="Times New Roman"/>
          <w:b w:val="0"/>
          <w:bCs/>
          <w:lang w:eastAsia="zh-CN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lang w:eastAsia="zh-CN"/>
        </w:rPr>
        <w:t>（此件主动公开）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京津冀高技能人才队伍建设专家推荐表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联系人：       联系电话：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   填表日期：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日</w:t>
      </w:r>
    </w:p>
    <w:tbl>
      <w:tblPr>
        <w:tblStyle w:val="8"/>
        <w:tblW w:w="510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"/>
        <w:gridCol w:w="39"/>
        <w:gridCol w:w="535"/>
        <w:gridCol w:w="1220"/>
        <w:gridCol w:w="1038"/>
        <w:gridCol w:w="792"/>
        <w:gridCol w:w="2156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移动电话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36" w:firstLineChars="15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最高学历（时间）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最高学位（时间）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现从事专业工作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所属行业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现职业资格或技能等级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现职称（时间）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现任行政职务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现参加专业团体及所任职务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工作单位属性</w:t>
            </w:r>
          </w:p>
        </w:tc>
        <w:tc>
          <w:tcPr>
            <w:tcW w:w="3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普通高校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职业院校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技工院校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政府部门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科研院所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行业协会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其他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拟加入专家库（可多选）</w:t>
            </w:r>
          </w:p>
        </w:tc>
        <w:tc>
          <w:tcPr>
            <w:tcW w:w="3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政策（课题）研究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技能人才队伍建设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平台项目建设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职业技能培训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技工教育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职业技能评价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经历</w:t>
            </w:r>
          </w:p>
        </w:tc>
        <w:tc>
          <w:tcPr>
            <w:tcW w:w="452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专业特长或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研究方向</w:t>
            </w:r>
          </w:p>
        </w:tc>
        <w:tc>
          <w:tcPr>
            <w:tcW w:w="452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3" w:hRule="atLeast"/>
          <w:jc w:val="center"/>
        </w:trPr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主要专业业绩情况和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取得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荣誉</w:t>
            </w:r>
          </w:p>
        </w:tc>
        <w:tc>
          <w:tcPr>
            <w:tcW w:w="4505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本人郑重承诺，所填写内容及提交材料真实、有效。如有任何虚假，愿意承担相应后果。</w:t>
            </w:r>
          </w:p>
          <w:p>
            <w:pPr>
              <w:wordWrap w:val="0"/>
              <w:spacing w:line="440" w:lineRule="exact"/>
              <w:ind w:firstLine="720" w:firstLineChars="3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申请人签名：          </w:t>
            </w:r>
          </w:p>
          <w:p>
            <w:pPr>
              <w:wordWrap w:val="0"/>
              <w:spacing w:line="440" w:lineRule="exact"/>
              <w:ind w:firstLine="1680" w:firstLineChars="7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年  月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5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或协会（学会）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推荐意见</w:t>
            </w:r>
          </w:p>
        </w:tc>
        <w:tc>
          <w:tcPr>
            <w:tcW w:w="44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盖章（签名）：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仿宋_GB2312"/>
          <w:lang w:eastAsia="zh-CN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1ECBB3-F1C4-4B34-945E-01DA2877A3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0B8E35-6CFD-427C-A84C-4C7270C31A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89E510-1429-4448-8216-6B52F130D26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6B78F5C-C614-4346-8A0F-EC73C46D73C0}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D1CE97C0-373F-4427-B6A9-58ACB457ABC4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9491868"/>
    <w:rsid w:val="2FDBC737"/>
    <w:rsid w:val="35F5A94C"/>
    <w:rsid w:val="3BB5C3D8"/>
    <w:rsid w:val="3F3BC0C5"/>
    <w:rsid w:val="5AF92E86"/>
    <w:rsid w:val="62F9B721"/>
    <w:rsid w:val="73FC114F"/>
    <w:rsid w:val="76FD1AE5"/>
    <w:rsid w:val="9F7F5C29"/>
    <w:rsid w:val="AD7F80F3"/>
    <w:rsid w:val="AFDF1E37"/>
    <w:rsid w:val="D7FFA416"/>
    <w:rsid w:val="F3FEBAB2"/>
    <w:rsid w:val="F5FFA71C"/>
    <w:rsid w:val="FBBFD3BF"/>
    <w:rsid w:val="FDDD3610"/>
    <w:rsid w:val="FEAF0130"/>
    <w:rsid w:val="FFE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1827</Words>
  <Characters>1949</Characters>
  <Lines>1</Lines>
  <Paragraphs>1</Paragraphs>
  <TotalTime>0</TotalTime>
  <ScaleCrop>false</ScaleCrop>
  <LinksUpToDate>false</LinksUpToDate>
  <CharactersWithSpaces>2139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2005-02-22T07:04:00Z</cp:lastPrinted>
  <dcterms:modified xsi:type="dcterms:W3CDTF">2024-07-25T03:27:36Z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14BFEBE0786845EC82A8AD01E462DC78_13</vt:lpwstr>
  </property>
</Properties>
</file>