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beforeLines="0" w:afterLines="0" w:line="560" w:lineRule="exact"/>
        <w:jc w:val="center"/>
        <w:rPr>
          <w:rFonts w:hint="default" w:ascii="Times New Roman" w:hAnsi="Times New Roman" w:eastAsia="方正小标宋简体" w:cs="Times New Roman"/>
          <w:sz w:val="44"/>
          <w:szCs w:val="44"/>
          <w:lang w:eastAsia="zh-CN"/>
        </w:rPr>
      </w:pPr>
      <w:r>
        <w:rPr>
          <w:rFonts w:hint="eastAsia" w:eastAsia="方正小标宋简体" w:cs="Times New Roman"/>
          <w:sz w:val="44"/>
          <w:szCs w:val="44"/>
          <w:lang w:eastAsia="zh-CN"/>
        </w:rPr>
        <w:t>市人社局等七部门</w:t>
      </w:r>
      <w:r>
        <w:rPr>
          <w:rFonts w:hint="default" w:ascii="Times New Roman" w:hAnsi="Times New Roman" w:eastAsia="方正小标宋简体" w:cs="Times New Roman"/>
          <w:sz w:val="44"/>
          <w:szCs w:val="44"/>
          <w:lang w:eastAsia="zh-CN"/>
        </w:rPr>
        <w:t>关于</w:t>
      </w:r>
      <w:r>
        <w:rPr>
          <w:rFonts w:hint="default" w:ascii="Times New Roman" w:hAnsi="Times New Roman" w:eastAsia="方正小标宋简体" w:cs="Times New Roman"/>
          <w:sz w:val="44"/>
          <w:szCs w:val="44"/>
          <w:lang w:val="en-US" w:eastAsia="zh-CN"/>
        </w:rPr>
        <w:t>印发</w:t>
      </w:r>
      <w:r>
        <w:rPr>
          <w:rFonts w:hint="default" w:ascii="Times New Roman" w:hAnsi="Times New Roman" w:eastAsia="方正小标宋简体" w:cs="Times New Roman"/>
          <w:sz w:val="44"/>
          <w:szCs w:val="44"/>
          <w:lang w:eastAsia="zh-CN"/>
        </w:rPr>
        <w:t>《天津市境外职业</w:t>
      </w:r>
    </w:p>
    <w:p>
      <w:pPr>
        <w:adjustRightInd w:val="0"/>
        <w:spacing w:beforeLines="0" w:afterLines="0" w:line="56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资格认可目录（202</w:t>
      </w:r>
      <w:r>
        <w:rPr>
          <w:rFonts w:hint="default"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lang w:eastAsia="zh-CN"/>
        </w:rPr>
        <w:t xml:space="preserve">年版）》的通知                </w:t>
      </w:r>
    </w:p>
    <w:p>
      <w:pPr>
        <w:pStyle w:val="4"/>
        <w:overflowPunct w:val="0"/>
        <w:adjustRightInd w:val="0"/>
        <w:snapToGrid w:val="0"/>
        <w:spacing w:beforeLines="0" w:after="0" w:afterLines="0" w:line="560" w:lineRule="exact"/>
        <w:jc w:val="both"/>
        <w:rPr>
          <w:rFonts w:hint="default" w:ascii="Times New Roman" w:hAnsi="Times New Roman" w:eastAsia="仿宋_GB2312" w:cs="Times New Roman"/>
          <w:sz w:val="32"/>
          <w:szCs w:val="32"/>
          <w:lang w:eastAsia="zh-CN"/>
        </w:rPr>
      </w:pPr>
    </w:p>
    <w:p>
      <w:pPr>
        <w:keepNext w:val="0"/>
        <w:keepLines w:val="0"/>
        <w:pageBreakBefore w:val="0"/>
        <w:widowControl w:val="0"/>
        <w:kinsoku/>
        <w:wordWrap/>
        <w:topLinePunct w:val="0"/>
        <w:autoSpaceDE/>
        <w:autoSpaceDN/>
        <w:bidi w:val="0"/>
        <w:adjustRightInd/>
        <w:snapToGrid/>
        <w:spacing w:beforeLines="0" w:afterLines="0" w:line="560" w:lineRule="exac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szCs w:val="44"/>
          <w:lang w:eastAsia="zh-CN"/>
        </w:rPr>
        <w:t>各区人力资源和社会保障局、规划和自然资源</w:t>
      </w:r>
      <w:r>
        <w:rPr>
          <w:rFonts w:hint="eastAsia" w:eastAsia="仿宋_GB2312" w:cs="Times New Roman"/>
          <w:sz w:val="32"/>
          <w:szCs w:val="44"/>
          <w:lang w:eastAsia="zh-CN"/>
        </w:rPr>
        <w:t>分</w:t>
      </w:r>
      <w:r>
        <w:rPr>
          <w:rFonts w:hint="default" w:ascii="Times New Roman" w:hAnsi="Times New Roman" w:eastAsia="仿宋_GB2312" w:cs="Times New Roman"/>
          <w:sz w:val="32"/>
          <w:szCs w:val="44"/>
          <w:lang w:eastAsia="zh-CN"/>
        </w:rPr>
        <w:t>局、金融局、科学技术局、市场</w:t>
      </w:r>
      <w:r>
        <w:rPr>
          <w:rFonts w:hint="eastAsia" w:ascii="Times New Roman" w:hAnsi="Times New Roman" w:eastAsia="仿宋_GB2312" w:cs="Times New Roman"/>
          <w:sz w:val="32"/>
          <w:szCs w:val="44"/>
          <w:lang w:eastAsia="zh-CN"/>
        </w:rPr>
        <w:t>监督管理</w:t>
      </w:r>
      <w:r>
        <w:rPr>
          <w:rFonts w:hint="eastAsia" w:eastAsia="仿宋_GB2312" w:cs="Times New Roman"/>
          <w:sz w:val="32"/>
          <w:szCs w:val="44"/>
          <w:lang w:eastAsia="zh-CN"/>
        </w:rPr>
        <w:t>局</w:t>
      </w:r>
      <w:r>
        <w:rPr>
          <w:rFonts w:hint="default" w:ascii="Times New Roman" w:hAnsi="Times New Roman" w:eastAsia="仿宋_GB2312" w:cs="Times New Roman"/>
          <w:sz w:val="32"/>
          <w:szCs w:val="44"/>
          <w:lang w:eastAsia="zh-CN"/>
        </w:rPr>
        <w:t>，市公安局出入境管理局</w:t>
      </w:r>
      <w:r>
        <w:rPr>
          <w:rFonts w:hint="default" w:ascii="Times New Roman" w:hAnsi="Times New Roman" w:eastAsia="仿宋_GB2312" w:cs="Times New Roman"/>
          <w:sz w:val="32"/>
          <w:szCs w:val="44"/>
          <w:lang w:val="en-US" w:eastAsia="zh-CN"/>
        </w:rPr>
        <w:t>，</w:t>
      </w:r>
      <w:r>
        <w:rPr>
          <w:rFonts w:hint="default" w:ascii="Times New Roman" w:hAnsi="Times New Roman" w:eastAsia="仿宋_GB2312" w:cs="Times New Roman"/>
          <w:sz w:val="32"/>
          <w:szCs w:val="44"/>
          <w:lang w:eastAsia="zh-CN"/>
        </w:rPr>
        <w:t>滨海新区公安局，各区公安分局，</w:t>
      </w:r>
      <w:r>
        <w:rPr>
          <w:rFonts w:hint="default" w:ascii="Times New Roman" w:hAnsi="Times New Roman" w:eastAsia="仿宋_GB2312" w:cs="Times New Roman"/>
          <w:sz w:val="32"/>
          <w:szCs w:val="44"/>
        </w:rPr>
        <w:t>有关</w:t>
      </w:r>
      <w:r>
        <w:rPr>
          <w:rFonts w:hint="default" w:ascii="Times New Roman" w:hAnsi="Times New Roman" w:eastAsia="仿宋_GB2312" w:cs="Times New Roman"/>
          <w:sz w:val="32"/>
          <w:szCs w:val="44"/>
          <w:lang w:eastAsia="zh-CN"/>
        </w:rPr>
        <w:t>单位</w:t>
      </w:r>
      <w:r>
        <w:rPr>
          <w:rFonts w:hint="default" w:ascii="Times New Roman" w:hAnsi="Times New Roman" w:eastAsia="仿宋_GB2312" w:cs="Times New Roman"/>
          <w:sz w:val="32"/>
          <w:szCs w:val="44"/>
        </w:rPr>
        <w:t>：</w:t>
      </w:r>
    </w:p>
    <w:p>
      <w:pPr>
        <w:pStyle w:val="4"/>
        <w:overflowPunct w:val="0"/>
        <w:adjustRightInd w:val="0"/>
        <w:snapToGrid w:val="0"/>
        <w:spacing w:beforeLines="0" w:after="0" w:afterLines="0" w:line="56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lang w:val="en-US" w:eastAsia="zh-CN"/>
        </w:rPr>
        <w:t>进一步推进更高水平对外开放，助力实施</w:t>
      </w:r>
      <w:r>
        <w:rPr>
          <w:rFonts w:hint="eastAsia" w:eastAsia="仿宋_GB2312" w:cs="Times New Roman"/>
          <w:sz w:val="32"/>
          <w:szCs w:val="32"/>
          <w:lang w:val="en-US" w:eastAsia="zh-CN"/>
        </w:rPr>
        <w:t>推动</w:t>
      </w:r>
      <w:r>
        <w:rPr>
          <w:rFonts w:hint="default" w:ascii="Times New Roman" w:hAnsi="Times New Roman" w:eastAsia="仿宋_GB2312" w:cs="Times New Roman"/>
          <w:sz w:val="32"/>
          <w:szCs w:val="32"/>
          <w:lang w:val="en-US" w:eastAsia="zh-CN"/>
        </w:rPr>
        <w:t>京津冀协同发展走深走实、科教兴市人才强市、滨海新区高质量发展</w:t>
      </w:r>
      <w:r>
        <w:rPr>
          <w:rFonts w:hint="eastAsia" w:eastAsia="仿宋_GB2312" w:cs="Times New Roman"/>
          <w:sz w:val="32"/>
          <w:szCs w:val="32"/>
          <w:lang w:val="en-US" w:eastAsia="zh-CN"/>
        </w:rPr>
        <w:t>支撑</w:t>
      </w:r>
      <w:r>
        <w:rPr>
          <w:rFonts w:hint="default" w:ascii="Times New Roman" w:hAnsi="Times New Roman" w:eastAsia="仿宋_GB2312" w:cs="Times New Roman"/>
          <w:sz w:val="32"/>
          <w:szCs w:val="32"/>
          <w:lang w:val="en-US" w:eastAsia="zh-CN"/>
        </w:rPr>
        <w:t>引领</w:t>
      </w:r>
      <w:r>
        <w:rPr>
          <w:rFonts w:hint="eastAsia" w:ascii="Times New Roman" w:hAnsi="Times New Roman" w:eastAsia="仿宋_GB2312" w:cs="仿宋_GB2312"/>
          <w:sz w:val="32"/>
          <w:szCs w:val="32"/>
          <w:lang w:val="en-US" w:eastAsia="zh-CN"/>
        </w:rPr>
        <w:t>等“十项行动”，</w:t>
      </w:r>
      <w:r>
        <w:rPr>
          <w:rFonts w:hint="eastAsia" w:ascii="Times New Roman" w:hAnsi="Times New Roman" w:eastAsia="仿宋_GB2312" w:cs="仿宋_GB2312"/>
          <w:sz w:val="32"/>
          <w:szCs w:val="32"/>
          <w:lang w:eastAsia="zh-CN"/>
        </w:rPr>
        <w:t>营</w:t>
      </w:r>
      <w:r>
        <w:rPr>
          <w:rFonts w:hint="eastAsia" w:ascii="Times New Roman" w:hAnsi="Times New Roman" w:eastAsia="仿宋_GB2312" w:cs="仿宋_GB2312"/>
          <w:sz w:val="32"/>
          <w:szCs w:val="32"/>
        </w:rPr>
        <w:t>造市场</w:t>
      </w:r>
      <w:r>
        <w:rPr>
          <w:rFonts w:hint="default" w:ascii="Times New Roman" w:hAnsi="Times New Roman" w:eastAsia="仿宋_GB2312" w:cs="Times New Roman"/>
          <w:sz w:val="32"/>
          <w:szCs w:val="32"/>
        </w:rPr>
        <w:t>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法治化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国际化一流营商环境，</w:t>
      </w: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《国务院关于同意在天津、上海、海南、重庆开展服务业扩大开放综合试点的批复》（国函〔2021〕37号）、《天津市对标国务院营商环境创新试点工作持续优化营商环境若干措施》（津政办规〔2022〕5号）</w:t>
      </w:r>
      <w:r>
        <w:rPr>
          <w:rFonts w:hint="default" w:ascii="Times New Roman" w:hAnsi="Times New Roman" w:eastAsia="仿宋_GB2312" w:cs="Times New Roman"/>
          <w:sz w:val="32"/>
          <w:szCs w:val="32"/>
          <w:lang w:eastAsia="zh-CN"/>
        </w:rPr>
        <w:t>，在</w:t>
      </w:r>
      <w:r>
        <w:rPr>
          <w:rFonts w:hint="eastAsia" w:eastAsia="仿宋_GB2312" w:cs="Times New Roman"/>
          <w:sz w:val="32"/>
          <w:szCs w:val="32"/>
          <w:lang w:eastAsia="zh-CN"/>
        </w:rPr>
        <w:t>本</w:t>
      </w:r>
      <w:r>
        <w:rPr>
          <w:rFonts w:hint="default" w:ascii="Times New Roman" w:hAnsi="Times New Roman" w:eastAsia="仿宋_GB2312" w:cs="Times New Roman"/>
          <w:sz w:val="32"/>
          <w:szCs w:val="32"/>
          <w:lang w:val="en-US" w:eastAsia="zh-CN"/>
        </w:rPr>
        <w:t>市境外职业资格认可目录</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2022年版</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基础上，市人社局会同自贸试验区管委会</w:t>
      </w:r>
      <w:r>
        <w:rPr>
          <w:rFonts w:hint="eastAsia" w:eastAsia="仿宋_GB2312" w:cs="Times New Roman"/>
          <w:sz w:val="32"/>
          <w:szCs w:val="32"/>
          <w:lang w:val="en-US" w:eastAsia="zh-CN"/>
        </w:rPr>
        <w:t>及相关主管部门</w:t>
      </w:r>
      <w:r>
        <w:rPr>
          <w:rFonts w:hint="default" w:ascii="Times New Roman" w:hAnsi="Times New Roman" w:eastAsia="仿宋_GB2312" w:cs="Times New Roman"/>
          <w:sz w:val="32"/>
          <w:szCs w:val="32"/>
          <w:lang w:val="en-US" w:eastAsia="zh-CN"/>
        </w:rPr>
        <w:t>共同研究制定了《天津市境外职业资格认可目录（2023年版）》（附件1</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以下简称《目录》），支持和鼓励持有《目录》内境外职业资格的专业人才来津创新创业。现将《目录》印发</w:t>
      </w:r>
      <w:r>
        <w:rPr>
          <w:rFonts w:hint="eastAsia" w:eastAsia="仿宋_GB2312" w:cs="Times New Roman"/>
          <w:sz w:val="32"/>
          <w:szCs w:val="32"/>
          <w:lang w:val="en-US" w:eastAsia="zh-CN"/>
        </w:rPr>
        <w:t>给</w:t>
      </w:r>
      <w:r>
        <w:rPr>
          <w:rFonts w:hint="default" w:ascii="Times New Roman" w:hAnsi="Times New Roman" w:eastAsia="仿宋_GB2312" w:cs="Times New Roman"/>
          <w:sz w:val="32"/>
          <w:szCs w:val="32"/>
          <w:lang w:val="en-US" w:eastAsia="zh-CN"/>
        </w:rPr>
        <w:t>你们，并就有关事项通知如下：</w:t>
      </w:r>
    </w:p>
    <w:p>
      <w:pPr>
        <w:pStyle w:val="4"/>
        <w:numPr>
          <w:ilvl w:val="-1"/>
          <w:numId w:val="0"/>
        </w:numPr>
        <w:overflowPunct w:val="0"/>
        <w:adjustRightInd w:val="0"/>
        <w:snapToGrid w:val="0"/>
        <w:spacing w:beforeLines="0" w:after="0" w:afterLines="0" w:line="560" w:lineRule="exact"/>
        <w:ind w:firstLine="0" w:firstLineChars="0"/>
        <w:jc w:val="both"/>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 xml:space="preserve">    一、实施范围</w:t>
      </w:r>
    </w:p>
    <w:p>
      <w:pPr>
        <w:pStyle w:val="4"/>
        <w:numPr>
          <w:ilvl w:val="-1"/>
          <w:numId w:val="0"/>
        </w:numPr>
        <w:overflowPunct w:val="0"/>
        <w:adjustRightInd w:val="0"/>
        <w:snapToGrid w:val="0"/>
        <w:spacing w:beforeLines="0" w:after="0" w:afterLines="0" w:line="560" w:lineRule="exact"/>
        <w:ind w:firstLine="0" w:firstLineChars="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天津市境外职业资格认可</w:t>
      </w:r>
      <w:r>
        <w:rPr>
          <w:rFonts w:hint="eastAsia" w:eastAsia="仿宋_GB2312" w:cs="Times New Roman"/>
          <w:sz w:val="32"/>
          <w:szCs w:val="32"/>
          <w:lang w:val="en-US" w:eastAsia="zh-CN"/>
        </w:rPr>
        <w:t>目录</w:t>
      </w:r>
      <w:r>
        <w:rPr>
          <w:rFonts w:hint="default"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lang w:eastAsia="zh-CN"/>
        </w:rPr>
        <w:t>中国（天津）自由贸易试验区的各片区及其联动创新区、联动创新示范基地、创新实践基地（以下统称天津自贸试验区）区域内适用。</w:t>
      </w:r>
    </w:p>
    <w:p>
      <w:pPr>
        <w:pStyle w:val="4"/>
        <w:overflowPunct w:val="0"/>
        <w:adjustRightInd w:val="0"/>
        <w:snapToGrid w:val="0"/>
        <w:spacing w:beforeLines="0" w:after="0" w:afterLines="0" w:line="560" w:lineRule="exact"/>
        <w:ind w:firstLine="640" w:firstLineChars="200"/>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二、支持政策</w:t>
      </w:r>
    </w:p>
    <w:p>
      <w:pPr>
        <w:spacing w:beforeLines="0" w:afterLines="0" w:line="56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rPr>
        <w:t>提供</w:t>
      </w:r>
      <w:r>
        <w:rPr>
          <w:rFonts w:hint="default" w:ascii="Times New Roman" w:hAnsi="Times New Roman" w:eastAsia="楷体_GB2312" w:cs="Times New Roman"/>
          <w:sz w:val="32"/>
          <w:szCs w:val="32"/>
          <w:lang w:eastAsia="zh-CN"/>
        </w:rPr>
        <w:t>从业</w:t>
      </w:r>
      <w:r>
        <w:rPr>
          <w:rFonts w:hint="default" w:ascii="Times New Roman" w:hAnsi="Times New Roman" w:eastAsia="楷体_GB2312" w:cs="Times New Roman"/>
          <w:sz w:val="32"/>
          <w:szCs w:val="32"/>
        </w:rPr>
        <w:t>便利。</w:t>
      </w:r>
      <w:r>
        <w:rPr>
          <w:rFonts w:hint="default" w:ascii="Times New Roman" w:hAnsi="Times New Roman" w:eastAsia="仿宋_GB2312" w:cs="Times New Roman"/>
          <w:sz w:val="32"/>
          <w:szCs w:val="32"/>
        </w:rPr>
        <w:t>持有《目录》内境外职业资格的</w:t>
      </w:r>
      <w:r>
        <w:rPr>
          <w:rFonts w:hint="default" w:ascii="Times New Roman" w:hAnsi="Times New Roman" w:eastAsia="仿宋_GB2312" w:cs="Times New Roman"/>
          <w:sz w:val="32"/>
          <w:szCs w:val="32"/>
          <w:lang w:eastAsia="zh-CN"/>
        </w:rPr>
        <w:t>专业人员，可以</w:t>
      </w:r>
      <w:r>
        <w:rPr>
          <w:rFonts w:hint="default" w:ascii="Times New Roman" w:hAnsi="Times New Roman" w:eastAsia="仿宋_GB2312" w:cs="Times New Roman"/>
          <w:sz w:val="32"/>
          <w:szCs w:val="32"/>
        </w:rPr>
        <w:t>按照相关规定在天津自贸试验区</w:t>
      </w:r>
      <w:r>
        <w:rPr>
          <w:rFonts w:hint="default" w:ascii="Times New Roman" w:hAnsi="Times New Roman" w:eastAsia="仿宋_GB2312" w:cs="Times New Roman"/>
          <w:sz w:val="32"/>
          <w:szCs w:val="32"/>
          <w:lang w:eastAsia="zh-CN"/>
        </w:rPr>
        <w:t>执业并</w:t>
      </w:r>
      <w:r>
        <w:rPr>
          <w:rFonts w:hint="default" w:ascii="Times New Roman" w:hAnsi="Times New Roman" w:eastAsia="仿宋_GB2312" w:cs="Times New Roman"/>
          <w:sz w:val="32"/>
          <w:szCs w:val="32"/>
        </w:rPr>
        <w:t>提供专业服务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其境外从业经历可视同境内从业经历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《目录》内</w:t>
      </w:r>
      <w:r>
        <w:rPr>
          <w:rFonts w:hint="default" w:ascii="Times New Roman" w:hAnsi="Times New Roman" w:eastAsia="仿宋_GB2312" w:cs="Times New Roman"/>
          <w:sz w:val="32"/>
          <w:szCs w:val="32"/>
          <w:lang w:val="en-US" w:eastAsia="zh-CN"/>
        </w:rPr>
        <w:t>符合相应职称系列（专业）层级基本标准条件的，最高可对应为副高级职称，并可作为申报本专业上一层级职称的条件</w:t>
      </w:r>
      <w:r>
        <w:rPr>
          <w:rFonts w:hint="eastAsia" w:eastAsia="仿宋_GB2312" w:cs="Times New Roman"/>
          <w:sz w:val="32"/>
          <w:szCs w:val="32"/>
          <w:lang w:val="en-US" w:eastAsia="zh-CN"/>
        </w:rPr>
        <w:t>（国家规定的以考代评专业除外）</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提供</w:t>
      </w:r>
      <w:r>
        <w:rPr>
          <w:rFonts w:hint="default" w:ascii="Times New Roman" w:hAnsi="Times New Roman" w:eastAsia="楷体_GB2312" w:cs="Times New Roman"/>
          <w:sz w:val="32"/>
          <w:szCs w:val="32"/>
          <w:lang w:eastAsia="zh-CN"/>
        </w:rPr>
        <w:t>工作许可</w:t>
      </w:r>
      <w:r>
        <w:rPr>
          <w:rFonts w:hint="default" w:ascii="Times New Roman" w:hAnsi="Times New Roman" w:eastAsia="楷体_GB2312" w:cs="Times New Roman"/>
          <w:sz w:val="32"/>
          <w:szCs w:val="32"/>
        </w:rPr>
        <w:t>便利。</w:t>
      </w:r>
      <w:r>
        <w:rPr>
          <w:rFonts w:hint="default" w:ascii="Times New Roman" w:hAnsi="Times New Roman" w:eastAsia="仿宋_GB2312" w:cs="Times New Roman"/>
          <w:b w:val="0"/>
          <w:bCs/>
          <w:sz w:val="32"/>
          <w:szCs w:val="32"/>
        </w:rPr>
        <w:t>持有《目录》内境外职业资格的外籍人员在办理工作许可时，可不受学历、学位、工作经历限制，年龄可放宽至65周岁（高精尖产业领域可放宽至70周岁），符合外国高端人才（A类）条件的，可办理有效期不超过5年的工作许可证。符合条件的外国高端人才可办理《外国高端人才确认函》。</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cs="Times New Roman"/>
        </w:rPr>
      </w:pPr>
      <w:r>
        <w:rPr>
          <w:rFonts w:hint="default"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提供</w:t>
      </w:r>
      <w:r>
        <w:rPr>
          <w:rFonts w:hint="default" w:ascii="Times New Roman" w:hAnsi="Times New Roman" w:eastAsia="楷体_GB2312" w:cs="Times New Roman"/>
          <w:sz w:val="32"/>
          <w:szCs w:val="32"/>
          <w:lang w:eastAsia="zh-CN"/>
        </w:rPr>
        <w:t>出入境</w:t>
      </w:r>
      <w:r>
        <w:rPr>
          <w:rFonts w:hint="default" w:ascii="Times New Roman" w:hAnsi="Times New Roman" w:eastAsia="楷体_GB2312" w:cs="Times New Roman"/>
          <w:sz w:val="32"/>
          <w:szCs w:val="32"/>
        </w:rPr>
        <w:t>便利。</w:t>
      </w:r>
      <w:r>
        <w:rPr>
          <w:rFonts w:hint="default" w:ascii="Times New Roman" w:hAnsi="Times New Roman" w:eastAsia="仿宋_GB2312" w:cs="Times New Roman"/>
          <w:sz w:val="32"/>
          <w:szCs w:val="32"/>
        </w:rPr>
        <w:t>持有《目录》内境外职业资格</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外籍人员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可</w:t>
      </w:r>
      <w:r>
        <w:rPr>
          <w:rFonts w:hint="default" w:ascii="Times New Roman" w:hAnsi="Times New Roman" w:eastAsia="仿宋_GB2312" w:cs="Times New Roman"/>
          <w:sz w:val="32"/>
          <w:szCs w:val="32"/>
          <w:lang w:eastAsia="zh-CN"/>
        </w:rPr>
        <w:t>办理有效期</w:t>
      </w:r>
      <w:r>
        <w:rPr>
          <w:rFonts w:hint="default" w:ascii="Times New Roman" w:hAnsi="Times New Roman" w:eastAsia="仿宋_GB2312" w:cs="Times New Roman"/>
          <w:sz w:val="32"/>
          <w:szCs w:val="32"/>
          <w:lang w:val="en-US" w:eastAsia="zh-CN"/>
        </w:rPr>
        <w:t>5年以内的多次签证或居留许可。</w:t>
      </w:r>
      <w:r>
        <w:rPr>
          <w:rFonts w:hint="default" w:ascii="Times New Roman" w:hAnsi="Times New Roman" w:eastAsia="仿宋_GB2312" w:cs="Times New Roman"/>
          <w:sz w:val="32"/>
          <w:szCs w:val="32"/>
        </w:rPr>
        <w:t>符合条件的纳入办理永久居留便利通道，</w:t>
      </w:r>
      <w:r>
        <w:rPr>
          <w:rFonts w:hint="default" w:ascii="Times New Roman" w:hAnsi="Times New Roman" w:eastAsia="仿宋_GB2312" w:cs="Times New Roman"/>
          <w:sz w:val="32"/>
          <w:szCs w:val="32"/>
          <w:lang w:val="en-US" w:eastAsia="zh-CN"/>
        </w:rPr>
        <w:t>可以按照有关规定向公安机关口岸签证部门申请口岸签证</w:t>
      </w:r>
      <w:r>
        <w:rPr>
          <w:rFonts w:hint="default" w:ascii="Times New Roman" w:hAnsi="Times New Roman" w:eastAsia="仿宋_GB2312" w:cs="Times New Roman"/>
          <w:sz w:val="32"/>
          <w:szCs w:val="32"/>
        </w:rPr>
        <w:t>。</w:t>
      </w:r>
    </w:p>
    <w:p>
      <w:pPr>
        <w:pStyle w:val="4"/>
        <w:overflowPunct w:val="0"/>
        <w:adjustRightInd w:val="0"/>
        <w:snapToGrid w:val="0"/>
        <w:spacing w:beforeLines="0" w:after="0" w:afterLines="0" w:line="560" w:lineRule="exact"/>
        <w:ind w:firstLine="640" w:firstLineChars="200"/>
        <w:jc w:val="both"/>
        <w:rPr>
          <w:rFonts w:hint="eastAsia" w:ascii="Times New Roman" w:hAnsi="Times New Roman" w:eastAsia="仿宋_GB2312" w:cs="仿宋_GB2312"/>
          <w:sz w:val="32"/>
          <w:szCs w:val="32"/>
          <w:lang w:val="en-US" w:eastAsia="zh-CN"/>
        </w:rPr>
      </w:pPr>
      <w:r>
        <w:rPr>
          <w:rFonts w:hint="default" w:ascii="Times New Roman" w:hAnsi="Times New Roman" w:eastAsia="楷体_GB2312" w:cs="Times New Roman"/>
          <w:sz w:val="32"/>
          <w:szCs w:val="32"/>
          <w:lang w:eastAsia="zh-CN"/>
        </w:rPr>
        <w:t>（四）提供综合</w:t>
      </w:r>
      <w:r>
        <w:rPr>
          <w:rFonts w:hint="default" w:ascii="Times New Roman" w:hAnsi="Times New Roman" w:eastAsia="楷体_GB2312" w:cs="Times New Roman"/>
          <w:sz w:val="32"/>
          <w:szCs w:val="32"/>
        </w:rPr>
        <w:t>支持保障。</w:t>
      </w:r>
      <w:r>
        <w:rPr>
          <w:rFonts w:hint="default" w:ascii="Times New Roman" w:hAnsi="Times New Roman" w:eastAsia="仿宋_GB2312" w:cs="Times New Roman"/>
          <w:sz w:val="32"/>
          <w:szCs w:val="32"/>
        </w:rPr>
        <w:t>鼓励本市行业部门、企事业单位在创新创业、人才培养、子女入学、社会保障、评价激励等方面</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持有《目录》内境外职业资格的</w:t>
      </w:r>
      <w:r>
        <w:rPr>
          <w:rFonts w:hint="default" w:ascii="Times New Roman" w:hAnsi="Times New Roman" w:eastAsia="仿宋_GB2312" w:cs="Times New Roman"/>
          <w:sz w:val="32"/>
          <w:szCs w:val="32"/>
          <w:lang w:eastAsia="zh-CN"/>
        </w:rPr>
        <w:t>人员</w:t>
      </w:r>
      <w:r>
        <w:rPr>
          <w:rFonts w:hint="default" w:ascii="Times New Roman" w:hAnsi="Times New Roman" w:eastAsia="仿宋_GB2312" w:cs="Times New Roman"/>
          <w:sz w:val="32"/>
          <w:szCs w:val="32"/>
        </w:rPr>
        <w:t>给予支持和保障。</w:t>
      </w:r>
      <w:r>
        <w:rPr>
          <w:rFonts w:hint="default" w:ascii="Times New Roman" w:hAnsi="Times New Roman" w:eastAsia="仿宋_GB2312" w:cs="Times New Roman"/>
          <w:sz w:val="32"/>
          <w:szCs w:val="32"/>
          <w:lang w:val="en-US" w:eastAsia="zh-CN"/>
        </w:rPr>
        <w:t>持有《目录》内境外职业资格的人员纳入滨城人才服务证范围，享受专属服务；符合条件的，可以</w:t>
      </w:r>
      <w:r>
        <w:rPr>
          <w:rFonts w:hint="eastAsia" w:ascii="Times New Roman" w:hAnsi="Times New Roman" w:eastAsia="仿宋_GB2312" w:cs="仿宋_GB2312"/>
          <w:sz w:val="32"/>
          <w:szCs w:val="32"/>
          <w:lang w:val="en-US" w:eastAsia="zh-CN"/>
        </w:rPr>
        <w:t>申领“海河英才”卡并享受相应的服务。</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三、共享证书查询验证服务</w:t>
      </w:r>
    </w:p>
    <w:p>
      <w:pPr>
        <w:pStyle w:val="4"/>
        <w:overflowPunct w:val="0"/>
        <w:adjustRightInd w:val="0"/>
        <w:snapToGrid w:val="0"/>
        <w:spacing w:beforeLines="0" w:after="0" w:afterLines="0" w:line="56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依托北京市境外职业资格证书查询验证服务平台，本市用人单位可</w:t>
      </w:r>
      <w:r>
        <w:rPr>
          <w:rFonts w:hint="eastAsia" w:ascii="Times New Roman" w:hAnsi="Times New Roman" w:eastAsia="仿宋_GB2312" w:cs="Times New Roman"/>
          <w:sz w:val="32"/>
          <w:szCs w:val="32"/>
          <w:lang w:val="en-US" w:eastAsia="zh-CN"/>
        </w:rPr>
        <w:t>免费</w:t>
      </w:r>
      <w:r>
        <w:rPr>
          <w:rFonts w:hint="default" w:ascii="Times New Roman" w:hAnsi="Times New Roman" w:eastAsia="仿宋_GB2312" w:cs="Times New Roman"/>
          <w:sz w:val="32"/>
          <w:szCs w:val="32"/>
          <w:lang w:val="en-US" w:eastAsia="zh-CN"/>
        </w:rPr>
        <w:t>在线申请查验拟引进人才职业资格的真实性，促进京津冀人才资源共享。</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四、强化《目录》动态管理</w:t>
      </w:r>
    </w:p>
    <w:p>
      <w:pPr>
        <w:pStyle w:val="9"/>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textAlignment w:val="auto"/>
        <w:rPr>
          <w:rFonts w:hint="default" w:ascii="Times New Roman" w:hAnsi="Times New Roman" w:cs="Times New Roman"/>
          <w:b w:val="0"/>
          <w:bCs/>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val="0"/>
          <w:bCs/>
          <w:sz w:val="32"/>
          <w:szCs w:val="32"/>
          <w:lang w:val="en-US" w:eastAsia="zh-CN"/>
        </w:rPr>
        <w:t>实行境外职业资格认可目录制度，结合本市经济社会发展实际需要，适时跟踪《目录》内境外职业资格的发证情况、会员水平、从业能力等，对不符合要求的境外职业资格予以退出，对需要增加的</w:t>
      </w:r>
      <w:r>
        <w:rPr>
          <w:rFonts w:hint="eastAsia" w:ascii="Times New Roman" w:hAnsi="Times New Roman" w:eastAsia="仿宋_GB2312" w:cs="Times New Roman"/>
          <w:b w:val="0"/>
          <w:bCs/>
          <w:sz w:val="32"/>
          <w:szCs w:val="32"/>
          <w:lang w:val="en-US" w:eastAsia="zh-CN"/>
        </w:rPr>
        <w:t>予以</w:t>
      </w:r>
      <w:r>
        <w:rPr>
          <w:rFonts w:hint="default" w:ascii="Times New Roman" w:hAnsi="Times New Roman" w:eastAsia="仿宋_GB2312" w:cs="Times New Roman"/>
          <w:b w:val="0"/>
          <w:bCs/>
          <w:sz w:val="32"/>
          <w:szCs w:val="32"/>
          <w:lang w:val="en-US" w:eastAsia="zh-CN"/>
        </w:rPr>
        <w:t>纳入。</w:t>
      </w:r>
    </w:p>
    <w:p>
      <w:pPr>
        <w:keepNext w:val="0"/>
        <w:keepLines w:val="0"/>
        <w:pageBreakBefore w:val="0"/>
        <w:widowControl w:val="0"/>
        <w:kinsoku/>
        <w:wordWrap/>
        <w:overflowPunct w:val="0"/>
        <w:topLinePunct w:val="0"/>
        <w:autoSpaceDE/>
        <w:autoSpaceDN/>
        <w:bidi w:val="0"/>
        <w:adjustRightInd/>
        <w:snapToGrid w:val="0"/>
        <w:spacing w:beforeLines="0" w:afterLines="0"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本通知自发布之日起实施，《市人社局等六部门关于在中国（天津）自由贸易试验区推行境外职业资格认可工作的通知》（津人社办发〔2022〕101号）同时废止。</w:t>
      </w:r>
    </w:p>
    <w:p>
      <w:pPr>
        <w:pStyle w:val="4"/>
        <w:keepNext w:val="0"/>
        <w:keepLines w:val="0"/>
        <w:pageBreakBefore w:val="0"/>
        <w:widowControl w:val="0"/>
        <w:kinsoku/>
        <w:wordWrap/>
        <w:overflowPunct w:val="0"/>
        <w:topLinePunct w:val="0"/>
        <w:autoSpaceDE/>
        <w:autoSpaceDN/>
        <w:bidi w:val="0"/>
        <w:adjustRightInd w:val="0"/>
        <w:snapToGrid w:val="0"/>
        <w:spacing w:beforeLines="0" w:afterLines="0"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pStyle w:val="4"/>
        <w:keepNext w:val="0"/>
        <w:keepLines w:val="0"/>
        <w:pageBreakBefore w:val="0"/>
        <w:widowControl w:val="0"/>
        <w:kinsoku/>
        <w:wordWrap/>
        <w:overflowPunct w:val="0"/>
        <w:topLinePunct w:val="0"/>
        <w:autoSpaceDE/>
        <w:autoSpaceDN/>
        <w:bidi w:val="0"/>
        <w:adjustRightInd w:val="0"/>
        <w:snapToGrid w:val="0"/>
        <w:spacing w:beforeLines="0" w:afterLines="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eastAsia="zh-CN"/>
        </w:rPr>
        <w:t>天津市境外职业资格认可目录（202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年版）</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境外职业资格证书查询验证程序</w:t>
      </w:r>
    </w:p>
    <w:p>
      <w:pPr>
        <w:pStyle w:val="9"/>
        <w:keepNext w:val="0"/>
        <w:keepLines w:val="0"/>
        <w:pageBreakBefore w:val="0"/>
        <w:widowControl w:val="0"/>
        <w:kinsoku/>
        <w:wordWrap/>
        <w:overflowPunct/>
        <w:topLinePunct w:val="0"/>
        <w:autoSpaceDE/>
        <w:autoSpaceDN/>
        <w:bidi w:val="0"/>
        <w:adjustRightInd/>
        <w:snapToGrid w:val="0"/>
        <w:spacing w:before="0" w:beforeLines="0" w:after="0" w:afterLines="0" w:line="600" w:lineRule="exact"/>
        <w:textAlignment w:val="auto"/>
        <w:rPr>
          <w:rFonts w:hint="default" w:ascii="Times New Roman" w:hAnsi="Times New Roman" w:cs="Times New Roman"/>
          <w:b w:val="0"/>
          <w:bCs/>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topLinePunct w:val="0"/>
        <w:autoSpaceDE/>
        <w:autoSpaceDN/>
        <w:bidi w:val="0"/>
        <w:spacing w:beforeLines="0" w:afterLines="0" w:line="600" w:lineRule="exact"/>
        <w:textAlignment w:val="auto"/>
        <w:rPr>
          <w:rFonts w:hint="default" w:ascii="Times New Roman" w:hAnsi="Times New Roman" w:cs="Times New Roman"/>
          <w:lang w:eastAsia="zh-CN"/>
        </w:rPr>
      </w:pPr>
    </w:p>
    <w:p>
      <w:pPr>
        <w:pStyle w:val="10"/>
        <w:spacing w:beforeLines="0" w:afterLines="0" w:line="600" w:lineRule="exact"/>
        <w:ind w:firstLine="0" w:firstLineChars="0"/>
        <w:jc w:val="both"/>
        <w:rPr>
          <w:rFonts w:hint="eastAsia" w:ascii="Times New Roman"/>
          <w:sz w:val="32"/>
          <w:lang w:eastAsia="zh-CN"/>
        </w:rPr>
      </w:pPr>
    </w:p>
    <w:p>
      <w:pPr>
        <w:pStyle w:val="10"/>
        <w:spacing w:beforeLines="0" w:afterLines="0" w:line="600" w:lineRule="exact"/>
        <w:ind w:firstLine="0" w:firstLineChars="0"/>
        <w:jc w:val="both"/>
        <w:rPr>
          <w:rFonts w:hint="eastAsia" w:cs="Times New Roman"/>
          <w:sz w:val="32"/>
          <w:szCs w:val="32"/>
          <w:lang w:val="en-US" w:eastAsia="zh-CN"/>
        </w:rPr>
      </w:pPr>
      <w:r>
        <w:rPr>
          <w:rFonts w:hint="eastAsia"/>
          <w:sz w:val="32"/>
          <w:lang w:val="en-US" w:eastAsia="zh-CN"/>
        </w:rPr>
        <w:t xml:space="preserve">  </w:t>
      </w:r>
      <w:r>
        <w:rPr>
          <w:rFonts w:hint="default"/>
          <w:sz w:val="32"/>
          <w:lang w:val="en" w:eastAsia="zh-CN"/>
        </w:rPr>
        <w:t xml:space="preserve">  </w:t>
      </w:r>
      <w:r>
        <w:rPr>
          <w:rFonts w:hint="eastAsia"/>
          <w:sz w:val="32"/>
          <w:lang w:val="en-US" w:eastAsia="zh-CN"/>
        </w:rPr>
        <w:t xml:space="preserve"> </w:t>
      </w:r>
      <w:r>
        <w:rPr>
          <w:rFonts w:hint="default"/>
          <w:sz w:val="32"/>
          <w:lang w:val="en" w:eastAsia="zh-CN"/>
        </w:rPr>
        <w:t xml:space="preserve">  </w:t>
      </w:r>
      <w:r>
        <w:rPr>
          <w:rFonts w:hint="eastAsia" w:ascii="Times New Roman"/>
          <w:sz w:val="32"/>
          <w:lang w:eastAsia="zh-CN"/>
        </w:rPr>
        <w:t>市人社局</w:t>
      </w:r>
      <w:r>
        <w:rPr>
          <w:rFonts w:hint="eastAsia" w:ascii="Times New Roman"/>
          <w:sz w:val="32"/>
          <w:lang w:val="en-US" w:eastAsia="zh-CN"/>
        </w:rPr>
        <w:t xml:space="preserve">      </w:t>
      </w:r>
      <w:r>
        <w:rPr>
          <w:rFonts w:hint="eastAsia"/>
          <w:sz w:val="32"/>
          <w:lang w:val="en-US" w:eastAsia="zh-CN"/>
        </w:rPr>
        <w:t xml:space="preserve">            </w:t>
      </w:r>
      <w:r>
        <w:rPr>
          <w:rFonts w:hint="eastAsia" w:ascii="Times New Roman"/>
          <w:sz w:val="32"/>
          <w:lang w:val="en-US" w:eastAsia="zh-CN"/>
        </w:rPr>
        <w:t xml:space="preserve"> </w:t>
      </w:r>
      <w:r>
        <w:rPr>
          <w:rFonts w:hint="eastAsia" w:ascii="Times New Roman" w:hAnsi="Times New Roman" w:eastAsia="仿宋_GB2312" w:cs="Times New Roman"/>
          <w:sz w:val="32"/>
          <w:szCs w:val="32"/>
          <w:lang w:eastAsia="zh-CN"/>
        </w:rPr>
        <w:t>自贸试验区管委会</w:t>
      </w:r>
      <w:r>
        <w:rPr>
          <w:rFonts w:hint="eastAsia" w:cs="Times New Roman"/>
          <w:sz w:val="32"/>
          <w:szCs w:val="32"/>
          <w:lang w:val="en-US" w:eastAsia="zh-CN"/>
        </w:rPr>
        <w:t xml:space="preserve">        </w:t>
      </w:r>
    </w:p>
    <w:p>
      <w:pPr>
        <w:pStyle w:val="10"/>
        <w:spacing w:beforeLines="0" w:afterLines="0" w:line="600" w:lineRule="exact"/>
        <w:ind w:firstLine="0" w:firstLineChars="0"/>
        <w:jc w:val="both"/>
        <w:rPr>
          <w:rFonts w:hint="eastAsia" w:ascii="Times New Roman" w:hAnsi="Times New Roman" w:eastAsia="仿宋_GB2312" w:cs="Times New Roman"/>
          <w:sz w:val="32"/>
          <w:szCs w:val="32"/>
          <w:lang w:eastAsia="zh-CN"/>
        </w:rPr>
      </w:pPr>
    </w:p>
    <w:p>
      <w:pPr>
        <w:pStyle w:val="10"/>
        <w:spacing w:beforeLines="0" w:afterLines="0" w:line="600" w:lineRule="exact"/>
        <w:ind w:firstLine="0" w:firstLineChars="0"/>
        <w:jc w:val="both"/>
        <w:rPr>
          <w:rFonts w:hint="eastAsia" w:ascii="Times New Roman" w:hAnsi="Times New Roman" w:eastAsia="仿宋_GB2312" w:cs="Times New Roman"/>
          <w:sz w:val="32"/>
          <w:szCs w:val="32"/>
          <w:lang w:eastAsia="zh-CN"/>
        </w:rPr>
      </w:pPr>
    </w:p>
    <w:p>
      <w:pPr>
        <w:pStyle w:val="10"/>
        <w:spacing w:beforeLines="0" w:afterLines="0" w:line="600" w:lineRule="exact"/>
        <w:ind w:firstLine="0" w:firstLineChars="0"/>
        <w:jc w:val="both"/>
        <w:rPr>
          <w:rFonts w:hint="eastAsia" w:ascii="Times New Roman" w:hAnsi="Times New Roman" w:eastAsia="仿宋_GB2312" w:cs="Times New Roman"/>
          <w:sz w:val="32"/>
          <w:szCs w:val="32"/>
          <w:lang w:eastAsia="zh-CN"/>
        </w:rPr>
      </w:pPr>
    </w:p>
    <w:p>
      <w:pPr>
        <w:pStyle w:val="10"/>
        <w:spacing w:beforeLines="0" w:afterLines="0" w:line="600" w:lineRule="exact"/>
        <w:ind w:firstLine="0" w:firstLineChars="0"/>
        <w:jc w:val="both"/>
        <w:rPr>
          <w:rFonts w:hint="eastAsia" w:cs="Times New Roman"/>
          <w:sz w:val="32"/>
          <w:szCs w:val="32"/>
          <w:lang w:val="en-US" w:eastAsia="zh-CN"/>
        </w:rPr>
      </w:pPr>
      <w:r>
        <w:rPr>
          <w:rFonts w:hint="eastAsia" w:cs="Times New Roman"/>
          <w:sz w:val="32"/>
          <w:szCs w:val="32"/>
          <w:lang w:val="en-US" w:eastAsia="zh-CN"/>
        </w:rPr>
        <w:t xml:space="preserve">   </w:t>
      </w:r>
      <w:r>
        <w:rPr>
          <w:rFonts w:hint="eastAsia" w:ascii="Times New Roman" w:hAnsi="Times New Roman" w:eastAsia="仿宋_GB2312" w:cs="Times New Roman"/>
          <w:sz w:val="32"/>
          <w:szCs w:val="32"/>
          <w:lang w:eastAsia="zh-CN"/>
        </w:rPr>
        <w:t>市规划资源局</w:t>
      </w:r>
      <w:r>
        <w:rPr>
          <w:rFonts w:hint="eastAsia"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eastAsia" w:cs="Times New Roman"/>
          <w:sz w:val="32"/>
          <w:szCs w:val="32"/>
          <w:lang w:val="en-US" w:eastAsia="zh-CN"/>
        </w:rPr>
        <w:t xml:space="preserve"> 市金融局       </w:t>
      </w:r>
      <w:r>
        <w:rPr>
          <w:rFonts w:hint="eastAsia" w:ascii="Times New Roman" w:hAnsi="Times New Roman" w:cs="Times New Roman"/>
          <w:sz w:val="32"/>
          <w:szCs w:val="32"/>
          <w:lang w:val="en-US" w:eastAsia="zh-CN"/>
        </w:rPr>
        <w:t xml:space="preserve"> </w:t>
      </w:r>
      <w:r>
        <w:rPr>
          <w:rFonts w:hint="eastAsia" w:cs="Times New Roman"/>
          <w:sz w:val="32"/>
          <w:szCs w:val="32"/>
          <w:lang w:val="en-US" w:eastAsia="zh-CN"/>
        </w:rPr>
        <w:t xml:space="preserve"> 市科技局      </w:t>
      </w:r>
    </w:p>
    <w:p>
      <w:pPr>
        <w:pStyle w:val="10"/>
        <w:spacing w:beforeLines="0" w:afterLines="0" w:line="600" w:lineRule="exact"/>
        <w:ind w:firstLine="0" w:firstLineChars="0"/>
        <w:jc w:val="both"/>
        <w:rPr>
          <w:rFonts w:hint="eastAsia" w:cs="Times New Roman"/>
          <w:sz w:val="32"/>
          <w:szCs w:val="32"/>
          <w:lang w:val="en-US" w:eastAsia="zh-CN"/>
        </w:rPr>
      </w:pPr>
    </w:p>
    <w:p>
      <w:pPr>
        <w:pStyle w:val="10"/>
        <w:spacing w:beforeLines="0" w:afterLines="0" w:line="600" w:lineRule="exact"/>
        <w:ind w:firstLine="0" w:firstLineChars="0"/>
        <w:jc w:val="both"/>
        <w:rPr>
          <w:rFonts w:hint="eastAsia" w:cs="Times New Roman"/>
          <w:sz w:val="32"/>
          <w:szCs w:val="32"/>
          <w:lang w:val="en-US" w:eastAsia="zh-CN"/>
        </w:rPr>
      </w:pPr>
    </w:p>
    <w:p>
      <w:pPr>
        <w:pStyle w:val="10"/>
        <w:spacing w:beforeLines="0" w:afterLines="0" w:line="600" w:lineRule="exact"/>
        <w:ind w:firstLine="0" w:firstLineChars="0"/>
        <w:jc w:val="both"/>
        <w:rPr>
          <w:rFonts w:hint="eastAsia" w:ascii="Times New Roman" w:hAnsi="Times New Roman" w:cs="Times New Roman"/>
          <w:sz w:val="32"/>
          <w:szCs w:val="32"/>
          <w:lang w:val="en-US" w:eastAsia="zh-CN"/>
        </w:rPr>
      </w:pPr>
    </w:p>
    <w:p>
      <w:pPr>
        <w:pStyle w:val="10"/>
        <w:spacing w:beforeLines="0" w:afterLines="0" w:line="380" w:lineRule="exact"/>
        <w:ind w:firstLine="0" w:firstLineChars="0"/>
        <w:jc w:val="both"/>
        <w:rPr>
          <w:rFonts w:hint="eastAsia" w:ascii="Times New Roman" w:hAnsi="Times New Roman" w:eastAsia="仿宋_GB2312" w:cs="Times New Roman"/>
          <w:sz w:val="32"/>
          <w:szCs w:val="32"/>
          <w:lang w:eastAsia="zh-CN"/>
        </w:rPr>
      </w:pPr>
      <w:r>
        <w:rPr>
          <w:rFonts w:hint="eastAsia" w:cs="Times New Roman"/>
          <w:sz w:val="32"/>
          <w:szCs w:val="32"/>
          <w:lang w:val="en-US" w:eastAsia="zh-CN"/>
        </w:rPr>
        <w:t xml:space="preserve">  </w:t>
      </w:r>
      <w:r>
        <w:rPr>
          <w:rFonts w:hint="default" w:cs="Times New Roman"/>
          <w:sz w:val="32"/>
          <w:szCs w:val="32"/>
          <w:lang w:val="en" w:eastAsia="zh-CN"/>
        </w:rPr>
        <w:t xml:space="preserve"> </w:t>
      </w:r>
      <w:r>
        <w:rPr>
          <w:rFonts w:hint="eastAsia" w:ascii="Times New Roman" w:hAnsi="Times New Roman" w:cs="Times New Roman"/>
          <w:sz w:val="32"/>
          <w:szCs w:val="32"/>
          <w:lang w:val="en-US" w:eastAsia="zh-CN"/>
        </w:rPr>
        <w:t xml:space="preserve"> </w:t>
      </w:r>
      <w:r>
        <w:rPr>
          <w:rFonts w:hint="eastAsia" w:cs="Times New Roman"/>
          <w:sz w:val="32"/>
          <w:szCs w:val="32"/>
          <w:lang w:val="en-US" w:eastAsia="zh-CN"/>
        </w:rPr>
        <w:t xml:space="preserve">  市市场监管委       </w:t>
      </w:r>
      <w:r>
        <w:rPr>
          <w:rFonts w:hint="eastAsia" w:ascii="Times New Roman" w:hAnsi="Times New Roman" w:cs="Times New Roman"/>
          <w:sz w:val="32"/>
          <w:szCs w:val="32"/>
          <w:lang w:val="en-US" w:eastAsia="zh-CN"/>
        </w:rPr>
        <w:t xml:space="preserve">  </w:t>
      </w:r>
      <w:r>
        <w:rPr>
          <w:rFonts w:hint="eastAsia"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eastAsia" w:cs="Times New Roman"/>
          <w:sz w:val="32"/>
          <w:szCs w:val="32"/>
          <w:lang w:val="en-US" w:eastAsia="zh-CN"/>
        </w:rPr>
        <w:t xml:space="preserve"> </w:t>
      </w:r>
      <w:r>
        <w:rPr>
          <w:rFonts w:hint="eastAsia" w:ascii="Times New Roman" w:hAnsi="Times New Roman" w:eastAsia="仿宋_GB2312" w:cs="Times New Roman"/>
          <w:sz w:val="32"/>
          <w:szCs w:val="32"/>
          <w:lang w:eastAsia="zh-CN"/>
        </w:rPr>
        <w:t>市公安局</w:t>
      </w:r>
    </w:p>
    <w:p>
      <w:pPr>
        <w:pStyle w:val="10"/>
        <w:spacing w:beforeLines="0" w:afterLines="0" w:line="380" w:lineRule="exact"/>
        <w:jc w:val="center"/>
        <w:rPr>
          <w:rFonts w:hint="eastAsia" w:ascii="Times New Roman" w:hAnsi="Times New Roman" w:eastAsia="仿宋_GB2312" w:cs="Times New Roman"/>
          <w:sz w:val="32"/>
          <w:szCs w:val="32"/>
          <w:lang w:val="en-US" w:eastAsia="zh-CN"/>
        </w:rPr>
      </w:pPr>
      <w:r>
        <w:rPr>
          <w:rFonts w:hint="eastAsia"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eastAsia"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202</w:t>
      </w:r>
      <w:r>
        <w:rPr>
          <w:rFonts w:hint="eastAsia" w:cs="Times New Roman"/>
          <w:sz w:val="32"/>
          <w:szCs w:val="32"/>
          <w:lang w:val="en-US" w:eastAsia="zh-CN"/>
        </w:rPr>
        <w:t>3</w:t>
      </w:r>
      <w:r>
        <w:rPr>
          <w:rFonts w:hint="eastAsia" w:ascii="Times New Roman" w:hAnsi="Times New Roman" w:eastAsia="仿宋_GB2312" w:cs="Times New Roman"/>
          <w:sz w:val="32"/>
          <w:szCs w:val="32"/>
          <w:lang w:val="en-US" w:eastAsia="zh-CN"/>
        </w:rPr>
        <w:t>年12月</w:t>
      </w:r>
      <w:r>
        <w:rPr>
          <w:rFonts w:hint="eastAsia" w:cs="Times New Roman"/>
          <w:sz w:val="32"/>
          <w:szCs w:val="32"/>
          <w:lang w:val="en-US" w:eastAsia="zh-CN"/>
        </w:rPr>
        <w:t>29</w:t>
      </w:r>
      <w:r>
        <w:rPr>
          <w:rFonts w:hint="eastAsia" w:ascii="Times New Roman" w:hAnsi="Times New Roman" w:eastAsia="仿宋_GB2312" w:cs="Times New Roman"/>
          <w:sz w:val="32"/>
          <w:szCs w:val="32"/>
          <w:lang w:val="en-US" w:eastAsia="zh-CN"/>
        </w:rPr>
        <w:t>日</w:t>
      </w:r>
    </w:p>
    <w:p>
      <w:pPr>
        <w:pStyle w:val="10"/>
        <w:spacing w:beforeLines="0" w:afterLines="0" w:line="380" w:lineRule="exact"/>
        <w:jc w:val="both"/>
        <w:rPr>
          <w:rFonts w:hint="eastAsia" w:ascii="Times New Roman" w:hAnsi="Times New Roman" w:eastAsia="仿宋_GB2312" w:cs="Times New Roman"/>
          <w:sz w:val="32"/>
          <w:szCs w:val="32"/>
          <w:lang w:val="en-US" w:eastAsia="zh-CN"/>
        </w:rPr>
      </w:pPr>
      <w:r>
        <w:rPr>
          <w:rFonts w:hint="eastAsia" w:cs="Times New Roman"/>
          <w:sz w:val="32"/>
          <w:szCs w:val="32"/>
          <w:lang w:val="en-US" w:eastAsia="zh-CN"/>
        </w:rPr>
        <w:t>（此件主动公开）</w:t>
      </w:r>
    </w:p>
    <w:p>
      <w:pPr>
        <w:pStyle w:val="2"/>
        <w:spacing w:line="380" w:lineRule="exact"/>
        <w:rPr>
          <w:rFonts w:hint="default" w:ascii="Times New Roman" w:hAnsi="Times New Roman"/>
          <w:lang w:eastAsia="zh-CN"/>
        </w:rPr>
        <w:sectPr>
          <w:footerReference r:id="rId3" w:type="default"/>
          <w:pgSz w:w="11906" w:h="16838"/>
          <w:pgMar w:top="2268" w:right="1587" w:bottom="1417" w:left="1587" w:header="851" w:footer="992" w:gutter="0"/>
          <w:pgNumType w:fmt="numberInDash" w:start="1"/>
          <w:cols w:space="0" w:num="1"/>
          <w:rtlGutter w:val="0"/>
          <w:docGrid w:type="lines" w:linePitch="312" w:charSpace="0"/>
        </w:sectPr>
      </w:pPr>
    </w:p>
    <w:p>
      <w:pPr>
        <w:pStyle w:val="4"/>
        <w:overflowPunct w:val="0"/>
        <w:adjustRightInd w:val="0"/>
        <w:snapToGrid w:val="0"/>
        <w:spacing w:after="0" w:line="580" w:lineRule="exact"/>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pPr>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小标宋简体" w:cs="Times New Roman"/>
          <w:b w:val="0"/>
          <w:bCs w:val="0"/>
          <w:i w:val="0"/>
          <w:iCs w:val="0"/>
          <w:color w:val="000000"/>
          <w:kern w:val="0"/>
          <w:sz w:val="44"/>
          <w:szCs w:val="44"/>
          <w:u w:val="none"/>
          <w:lang w:val="en-US" w:eastAsia="zh-CN" w:bidi="ar"/>
        </w:rPr>
      </w:pPr>
      <w:r>
        <w:rPr>
          <w:rFonts w:hint="default" w:ascii="Times New Roman" w:hAnsi="Times New Roman" w:eastAsia="方正小标宋简体" w:cs="Times New Roman"/>
          <w:b w:val="0"/>
          <w:bCs w:val="0"/>
          <w:i w:val="0"/>
          <w:iCs w:val="0"/>
          <w:color w:val="000000"/>
          <w:kern w:val="0"/>
          <w:sz w:val="44"/>
          <w:szCs w:val="44"/>
          <w:u w:val="none"/>
          <w:lang w:val="en-US" w:eastAsia="zh-CN" w:bidi="ar"/>
        </w:rPr>
        <w:t>天津市境外职业资格认可目录（2023年版）</w:t>
      </w:r>
    </w:p>
    <w:tbl>
      <w:tblPr>
        <w:tblStyle w:val="12"/>
        <w:tblpPr w:leftFromText="180" w:rightFromText="180" w:vertAnchor="text" w:horzAnchor="page" w:tblpXSpec="center" w:tblpY="935"/>
        <w:tblOverlap w:val="never"/>
        <w:tblW w:w="13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9"/>
        <w:gridCol w:w="3254"/>
        <w:gridCol w:w="1109"/>
        <w:gridCol w:w="2896"/>
        <w:gridCol w:w="1177"/>
        <w:gridCol w:w="4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黑体" w:cs="黑体"/>
                <w:b w:val="0"/>
                <w:bCs w:val="0"/>
                <w:i w:val="0"/>
                <w:iCs w:val="0"/>
                <w:color w:val="000000"/>
                <w:sz w:val="28"/>
                <w:szCs w:val="28"/>
                <w:u w:val="none"/>
              </w:rPr>
            </w:pPr>
            <w:r>
              <w:rPr>
                <w:rFonts w:hint="eastAsia" w:ascii="Times New Roman" w:hAnsi="Times New Roman" w:eastAsia="黑体" w:cs="黑体"/>
                <w:b w:val="0"/>
                <w:bCs w:val="0"/>
                <w:i w:val="0"/>
                <w:iCs w:val="0"/>
                <w:color w:val="000000"/>
                <w:kern w:val="0"/>
                <w:sz w:val="28"/>
                <w:szCs w:val="28"/>
                <w:u w:val="none"/>
                <w:lang w:val="en-US" w:eastAsia="zh-CN" w:bidi="ar"/>
              </w:rPr>
              <w:t>序号</w:t>
            </w:r>
          </w:p>
        </w:tc>
        <w:tc>
          <w:tcPr>
            <w:tcW w:w="32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黑体" w:cs="黑体"/>
                <w:b w:val="0"/>
                <w:bCs w:val="0"/>
                <w:i w:val="0"/>
                <w:iCs w:val="0"/>
                <w:color w:val="000000"/>
                <w:kern w:val="0"/>
                <w:sz w:val="28"/>
                <w:szCs w:val="28"/>
                <w:u w:val="none"/>
                <w:lang w:val="en-US" w:eastAsia="zh-CN" w:bidi="ar"/>
              </w:rPr>
            </w:pPr>
            <w:r>
              <w:rPr>
                <w:rFonts w:hint="eastAsia" w:ascii="Times New Roman" w:hAnsi="Times New Roman" w:eastAsia="黑体" w:cs="黑体"/>
                <w:b w:val="0"/>
                <w:bCs w:val="0"/>
                <w:i w:val="0"/>
                <w:iCs w:val="0"/>
                <w:color w:val="000000"/>
                <w:kern w:val="0"/>
                <w:sz w:val="28"/>
                <w:szCs w:val="28"/>
                <w:u w:val="none"/>
                <w:lang w:val="en-US" w:eastAsia="zh-CN" w:bidi="ar"/>
              </w:rPr>
              <w:t>境外职业资格</w:t>
            </w:r>
          </w:p>
          <w:p>
            <w:pPr>
              <w:keepNext w:val="0"/>
              <w:keepLines w:val="0"/>
              <w:widowControl/>
              <w:suppressLineNumbers w:val="0"/>
              <w:jc w:val="center"/>
              <w:textAlignment w:val="center"/>
              <w:rPr>
                <w:rFonts w:hint="eastAsia" w:ascii="Times New Roman" w:hAnsi="Times New Roman" w:eastAsia="黑体" w:cs="黑体"/>
                <w:b w:val="0"/>
                <w:bCs w:val="0"/>
                <w:i w:val="0"/>
                <w:iCs w:val="0"/>
                <w:color w:val="000000"/>
                <w:sz w:val="28"/>
                <w:szCs w:val="28"/>
                <w:u w:val="none"/>
              </w:rPr>
            </w:pPr>
            <w:r>
              <w:rPr>
                <w:rFonts w:hint="eastAsia" w:ascii="Times New Roman" w:hAnsi="Times New Roman" w:eastAsia="黑体" w:cs="黑体"/>
                <w:b w:val="0"/>
                <w:bCs w:val="0"/>
                <w:i w:val="0"/>
                <w:iCs w:val="0"/>
                <w:color w:val="000000"/>
                <w:kern w:val="0"/>
                <w:sz w:val="28"/>
                <w:szCs w:val="28"/>
                <w:u w:val="none"/>
                <w:lang w:val="en-US" w:eastAsia="zh-CN" w:bidi="ar"/>
              </w:rPr>
              <w:t>证书名称</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黑体" w:cs="黑体"/>
                <w:b w:val="0"/>
                <w:bCs w:val="0"/>
                <w:i w:val="0"/>
                <w:iCs w:val="0"/>
                <w:color w:val="000000"/>
                <w:kern w:val="0"/>
                <w:sz w:val="28"/>
                <w:szCs w:val="28"/>
                <w:u w:val="none"/>
                <w:lang w:val="en-US" w:eastAsia="zh-CN" w:bidi="ar"/>
              </w:rPr>
            </w:pPr>
            <w:r>
              <w:rPr>
                <w:rFonts w:hint="eastAsia" w:ascii="Times New Roman" w:hAnsi="Times New Roman" w:eastAsia="黑体" w:cs="黑体"/>
                <w:b w:val="0"/>
                <w:bCs w:val="0"/>
                <w:i w:val="0"/>
                <w:iCs w:val="0"/>
                <w:color w:val="000000"/>
                <w:kern w:val="0"/>
                <w:sz w:val="28"/>
                <w:szCs w:val="28"/>
                <w:u w:val="none"/>
                <w:lang w:val="en-US" w:eastAsia="zh-CN" w:bidi="ar"/>
              </w:rPr>
              <w:t>国家或</w:t>
            </w:r>
          </w:p>
          <w:p>
            <w:pPr>
              <w:keepNext w:val="0"/>
              <w:keepLines w:val="0"/>
              <w:widowControl/>
              <w:suppressLineNumbers w:val="0"/>
              <w:jc w:val="center"/>
              <w:textAlignment w:val="center"/>
              <w:rPr>
                <w:rFonts w:hint="eastAsia" w:ascii="Times New Roman" w:hAnsi="Times New Roman" w:eastAsia="黑体" w:cs="黑体"/>
                <w:b w:val="0"/>
                <w:bCs w:val="0"/>
                <w:i w:val="0"/>
                <w:iCs w:val="0"/>
                <w:color w:val="000000"/>
                <w:sz w:val="28"/>
                <w:szCs w:val="28"/>
                <w:u w:val="none"/>
              </w:rPr>
            </w:pPr>
            <w:r>
              <w:rPr>
                <w:rFonts w:hint="eastAsia" w:ascii="Times New Roman" w:hAnsi="Times New Roman" w:eastAsia="黑体" w:cs="黑体"/>
                <w:b w:val="0"/>
                <w:bCs w:val="0"/>
                <w:i w:val="0"/>
                <w:iCs w:val="0"/>
                <w:color w:val="000000"/>
                <w:kern w:val="0"/>
                <w:sz w:val="28"/>
                <w:szCs w:val="28"/>
                <w:u w:val="none"/>
                <w:lang w:val="en-US" w:eastAsia="zh-CN" w:bidi="ar"/>
              </w:rPr>
              <w:t>地区</w:t>
            </w:r>
          </w:p>
        </w:tc>
        <w:tc>
          <w:tcPr>
            <w:tcW w:w="28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黑体" w:cs="黑体"/>
                <w:b w:val="0"/>
                <w:bCs w:val="0"/>
                <w:i w:val="0"/>
                <w:iCs w:val="0"/>
                <w:color w:val="000000"/>
                <w:sz w:val="28"/>
                <w:szCs w:val="28"/>
                <w:u w:val="none"/>
              </w:rPr>
            </w:pPr>
            <w:r>
              <w:rPr>
                <w:rFonts w:hint="eastAsia" w:ascii="Times New Roman" w:hAnsi="Times New Roman" w:eastAsia="黑体" w:cs="黑体"/>
                <w:b w:val="0"/>
                <w:bCs w:val="0"/>
                <w:i w:val="0"/>
                <w:iCs w:val="0"/>
                <w:color w:val="000000"/>
                <w:kern w:val="0"/>
                <w:sz w:val="28"/>
                <w:szCs w:val="28"/>
                <w:u w:val="none"/>
                <w:lang w:val="en-US" w:eastAsia="zh-CN" w:bidi="ar"/>
              </w:rPr>
              <w:t>证书颁发机构</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黑体" w:cs="黑体"/>
                <w:b w:val="0"/>
                <w:bCs w:val="0"/>
                <w:i w:val="0"/>
                <w:iCs w:val="0"/>
                <w:color w:val="000000"/>
                <w:kern w:val="0"/>
                <w:sz w:val="28"/>
                <w:szCs w:val="28"/>
                <w:u w:val="none"/>
                <w:lang w:val="en-US" w:eastAsia="zh-CN" w:bidi="ar"/>
              </w:rPr>
            </w:pPr>
            <w:r>
              <w:rPr>
                <w:rFonts w:hint="eastAsia" w:ascii="Times New Roman" w:hAnsi="Times New Roman" w:eastAsia="黑体" w:cs="黑体"/>
                <w:b w:val="0"/>
                <w:bCs w:val="0"/>
                <w:i w:val="0"/>
                <w:iCs w:val="0"/>
                <w:color w:val="000000"/>
                <w:kern w:val="0"/>
                <w:sz w:val="28"/>
                <w:szCs w:val="28"/>
                <w:u w:val="none"/>
                <w:lang w:val="en-US" w:eastAsia="zh-CN" w:bidi="ar"/>
              </w:rPr>
              <w:t>专业</w:t>
            </w:r>
          </w:p>
          <w:p>
            <w:pPr>
              <w:keepNext w:val="0"/>
              <w:keepLines w:val="0"/>
              <w:widowControl/>
              <w:suppressLineNumbers w:val="0"/>
              <w:jc w:val="center"/>
              <w:textAlignment w:val="center"/>
              <w:rPr>
                <w:rFonts w:hint="eastAsia" w:ascii="Times New Roman" w:hAnsi="Times New Roman" w:eastAsia="黑体" w:cs="黑体"/>
                <w:b w:val="0"/>
                <w:bCs w:val="0"/>
                <w:i w:val="0"/>
                <w:iCs w:val="0"/>
                <w:color w:val="000000"/>
                <w:sz w:val="28"/>
                <w:szCs w:val="28"/>
                <w:u w:val="none"/>
              </w:rPr>
            </w:pPr>
            <w:r>
              <w:rPr>
                <w:rFonts w:hint="eastAsia" w:ascii="Times New Roman" w:hAnsi="Times New Roman" w:eastAsia="黑体" w:cs="黑体"/>
                <w:b w:val="0"/>
                <w:bCs w:val="0"/>
                <w:i w:val="0"/>
                <w:iCs w:val="0"/>
                <w:color w:val="000000"/>
                <w:kern w:val="0"/>
                <w:sz w:val="28"/>
                <w:szCs w:val="28"/>
                <w:u w:val="none"/>
                <w:lang w:val="en-US" w:eastAsia="zh-CN" w:bidi="ar"/>
              </w:rPr>
              <w:t>领域</w:t>
            </w:r>
          </w:p>
        </w:tc>
        <w:tc>
          <w:tcPr>
            <w:tcW w:w="4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黑体" w:cs="黑体"/>
                <w:b w:val="0"/>
                <w:bCs w:val="0"/>
                <w:i w:val="0"/>
                <w:iCs w:val="0"/>
                <w:color w:val="000000"/>
                <w:kern w:val="0"/>
                <w:sz w:val="28"/>
                <w:szCs w:val="28"/>
                <w:u w:val="none"/>
                <w:lang w:val="en-US" w:eastAsia="zh-CN" w:bidi="ar"/>
              </w:rPr>
            </w:pPr>
            <w:r>
              <w:rPr>
                <w:rFonts w:hint="eastAsia" w:ascii="Times New Roman" w:hAnsi="Times New Roman" w:eastAsia="黑体" w:cs="黑体"/>
                <w:b w:val="0"/>
                <w:bCs w:val="0"/>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32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注册专业规划师</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中国香港</w:t>
            </w:r>
          </w:p>
        </w:tc>
        <w:tc>
          <w:tcPr>
            <w:tcW w:w="28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香港规划师注册管理局</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规划</w:t>
            </w:r>
          </w:p>
        </w:tc>
        <w:tc>
          <w:tcPr>
            <w:tcW w:w="4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从事规划相关工作。</w:t>
            </w:r>
            <w:r>
              <w:rPr>
                <w:rFonts w:hint="default" w:ascii="Times New Roman" w:hAnsi="Times New Roman" w:eastAsia="仿宋_GB2312" w:cs="Times New Roman"/>
                <w:i w:val="0"/>
                <w:iCs w:val="0"/>
                <w:color w:val="000000"/>
                <w:kern w:val="0"/>
                <w:sz w:val="24"/>
                <w:szCs w:val="24"/>
                <w:u w:val="none"/>
                <w:lang w:val="en-US" w:eastAsia="zh-CN" w:bidi="ar"/>
              </w:rPr>
              <w:t>符合相应职称系列（专业）副高级的学历、年限等基本标准条件，可对应为副高级职称。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32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城市规划师</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中国澳门</w:t>
            </w:r>
          </w:p>
        </w:tc>
        <w:tc>
          <w:tcPr>
            <w:tcW w:w="28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澳门土地工务运输局</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规划</w:t>
            </w:r>
          </w:p>
        </w:tc>
        <w:tc>
          <w:tcPr>
            <w:tcW w:w="4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从事规划相关工作。</w:t>
            </w:r>
            <w:r>
              <w:rPr>
                <w:rFonts w:hint="default" w:ascii="Times New Roman" w:hAnsi="Times New Roman" w:eastAsia="仿宋_GB2312" w:cs="Times New Roman"/>
                <w:i w:val="0"/>
                <w:iCs w:val="0"/>
                <w:color w:val="000000"/>
                <w:kern w:val="0"/>
                <w:sz w:val="24"/>
                <w:szCs w:val="24"/>
                <w:u w:val="none"/>
                <w:lang w:val="en-US" w:eastAsia="zh-CN" w:bidi="ar"/>
              </w:rPr>
              <w:t>符合相应职称系列（专业）副高级的学历、年限等基本标准条件，可对应为副高级职称。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32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CFA特许金融分析师证书</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美国</w:t>
            </w:r>
          </w:p>
        </w:tc>
        <w:tc>
          <w:tcPr>
            <w:tcW w:w="289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特许金融分析师协会</w:t>
            </w:r>
          </w:p>
          <w:p>
            <w:pPr>
              <w:jc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Chartered Financial Analyst（CFA）</w:t>
            </w:r>
          </w:p>
          <w:p>
            <w:pPr>
              <w:jc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Institute</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金融</w:t>
            </w:r>
          </w:p>
        </w:tc>
        <w:tc>
          <w:tcPr>
            <w:tcW w:w="4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从事金融、投资和管理相关工作。符合相应职称系列（专业）中级的学历、年限等基本标准条件，可对应为中级职称。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w:t>
            </w:r>
          </w:p>
        </w:tc>
        <w:tc>
          <w:tcPr>
            <w:tcW w:w="32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CMA注册管理会计师资格</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89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000000"/>
                <w:sz w:val="24"/>
                <w:szCs w:val="24"/>
                <w:highlight w:val="none"/>
                <w:u w:val="none"/>
                <w:lang w:val="en-US" w:eastAsia="zh-CN"/>
              </w:rPr>
            </w:pPr>
            <w:r>
              <w:rPr>
                <w:rFonts w:hint="default" w:ascii="Times New Roman" w:hAnsi="Times New Roman" w:eastAsia="仿宋_GB2312" w:cs="Times New Roman"/>
                <w:i w:val="0"/>
                <w:iCs w:val="0"/>
                <w:color w:val="000000"/>
                <w:sz w:val="24"/>
                <w:szCs w:val="24"/>
                <w:highlight w:val="none"/>
                <w:u w:val="none"/>
                <w:lang w:val="en-US" w:eastAsia="zh-CN"/>
              </w:rPr>
              <w:t>IMA管理会计师协会</w:t>
            </w:r>
          </w:p>
          <w:p>
            <w:pPr>
              <w:jc w:val="center"/>
              <w:rPr>
                <w:rFonts w:hint="default" w:ascii="Times New Roman" w:hAnsi="Times New Roman" w:cs="Times New Roman"/>
                <w:sz w:val="24"/>
                <w:szCs w:val="24"/>
                <w:highlight w:val="none"/>
              </w:rPr>
            </w:pPr>
            <w:r>
              <w:rPr>
                <w:rFonts w:hint="default" w:ascii="Times New Roman" w:hAnsi="Times New Roman" w:eastAsia="仿宋_GB2312" w:cs="Times New Roman"/>
                <w:color w:val="000000"/>
                <w:sz w:val="24"/>
                <w:szCs w:val="24"/>
                <w:highlight w:val="none"/>
                <w:u w:val="none"/>
              </w:rPr>
              <w:t>Institute</w:t>
            </w:r>
            <w:r>
              <w:rPr>
                <w:rFonts w:hint="default" w:ascii="Times New Roman" w:hAnsi="Times New Roman" w:eastAsia="仿宋_GB2312" w:cs="Times New Roman"/>
                <w:color w:val="000000"/>
                <w:sz w:val="24"/>
                <w:szCs w:val="24"/>
                <w:highlight w:val="none"/>
                <w:u w:val="none"/>
                <w:lang w:val="en-US" w:eastAsia="zh-CN"/>
              </w:rPr>
              <w:t xml:space="preserve"> </w:t>
            </w:r>
            <w:r>
              <w:rPr>
                <w:rFonts w:hint="default" w:ascii="Times New Roman" w:hAnsi="Times New Roman" w:eastAsia="仿宋_GB2312" w:cs="Times New Roman"/>
                <w:color w:val="000000"/>
                <w:sz w:val="24"/>
                <w:szCs w:val="24"/>
                <w:highlight w:val="none"/>
                <w:u w:val="none"/>
              </w:rPr>
              <w:t>of Management Accountants</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金融</w:t>
            </w:r>
          </w:p>
        </w:tc>
        <w:tc>
          <w:tcPr>
            <w:tcW w:w="4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从事金融、会计和财务管理相关工作。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32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USCPA美国注册会计师证书</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美国</w:t>
            </w:r>
          </w:p>
        </w:tc>
        <w:tc>
          <w:tcPr>
            <w:tcW w:w="2896"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美国注册会计师协会</w:t>
            </w:r>
          </w:p>
          <w:p>
            <w:pPr>
              <w:pStyle w:val="9"/>
              <w:spacing w:before="0" w:after="0"/>
              <w:jc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b w:val="0"/>
                <w:bCs/>
                <w:i w:val="0"/>
                <w:iCs w:val="0"/>
                <w:color w:val="000000"/>
                <w:sz w:val="24"/>
                <w:szCs w:val="24"/>
                <w:u w:val="none"/>
                <w:lang w:val="en-US" w:eastAsia="zh-CN"/>
              </w:rPr>
              <w:t>American Institute of CPAs</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金融</w:t>
            </w:r>
          </w:p>
        </w:tc>
        <w:tc>
          <w:tcPr>
            <w:tcW w:w="4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从事金融、会计和财务管理相关工作。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32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FSA北美精算师协会正会员</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美国</w:t>
            </w:r>
          </w:p>
        </w:tc>
        <w:tc>
          <w:tcPr>
            <w:tcW w:w="28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北美精算师协会</w:t>
            </w:r>
          </w:p>
          <w:p>
            <w:pPr>
              <w:keepNext w:val="0"/>
              <w:keepLines w:val="0"/>
              <w:widowControl/>
              <w:suppressLineNumbers w:val="0"/>
              <w:jc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lang w:val="en-US" w:eastAsia="zh-CN"/>
              </w:rPr>
              <w:t>Society of Actuaries</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金融</w:t>
            </w:r>
          </w:p>
        </w:tc>
        <w:tc>
          <w:tcPr>
            <w:tcW w:w="4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从事金融、保险和投资相关工作。符合相应职称系列（专业）中级的学历、年限等基本标准条件，可对应为中级职称。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32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ASA北美精算师协会准会员</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美国</w:t>
            </w:r>
          </w:p>
        </w:tc>
        <w:tc>
          <w:tcPr>
            <w:tcW w:w="28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北美精算师协会</w:t>
            </w:r>
          </w:p>
          <w:p>
            <w:pPr>
              <w:keepNext w:val="0"/>
              <w:keepLines w:val="0"/>
              <w:widowControl/>
              <w:suppressLineNumbers w:val="0"/>
              <w:jc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Society of Actuaries</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金融</w:t>
            </w:r>
          </w:p>
        </w:tc>
        <w:tc>
          <w:tcPr>
            <w:tcW w:w="4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从事金融、保险和投资相关工作。符合相应职称系列（专业）中级的学历、年限等基本标准条件，可对应为中级职称。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8</w:t>
            </w:r>
          </w:p>
        </w:tc>
        <w:tc>
          <w:tcPr>
            <w:tcW w:w="32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FRM金融风险管理师</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8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hint="default" w:ascii="Times New Roman" w:hAnsi="Times New Roman" w:eastAsia="仿宋_GB2312" w:cs="Times New Roman"/>
                <w:i w:val="0"/>
                <w:iCs w:val="0"/>
                <w:color w:val="000000"/>
                <w:sz w:val="24"/>
                <w:szCs w:val="24"/>
                <w:highlight w:val="none"/>
                <w:u w:val="none"/>
                <w:lang w:val="en-US" w:eastAsia="zh-CN"/>
              </w:rPr>
            </w:pPr>
            <w:r>
              <w:rPr>
                <w:rFonts w:hint="default" w:ascii="Times New Roman" w:hAnsi="Times New Roman" w:eastAsia="仿宋_GB2312" w:cs="Times New Roman"/>
                <w:i w:val="0"/>
                <w:iCs w:val="0"/>
                <w:color w:val="000000"/>
                <w:sz w:val="24"/>
                <w:szCs w:val="24"/>
                <w:highlight w:val="none"/>
                <w:u w:val="none"/>
                <w:lang w:val="en-US" w:eastAsia="zh-CN"/>
              </w:rPr>
              <w:t>全球风险管理专业人士协会</w:t>
            </w:r>
          </w:p>
          <w:p>
            <w:pPr>
              <w:keepNext w:val="0"/>
              <w:keepLines w:val="0"/>
              <w:widowControl/>
              <w:suppressLineNumbers w:val="0"/>
              <w:jc w:val="center"/>
              <w:rPr>
                <w:rFonts w:hint="default" w:ascii="Times New Roman" w:hAnsi="Times New Roman" w:eastAsia="仿宋_GB2312" w:cs="Times New Roman"/>
                <w:i w:val="0"/>
                <w:iCs w:val="0"/>
                <w:color w:val="000000"/>
                <w:sz w:val="24"/>
                <w:szCs w:val="24"/>
                <w:highlight w:val="none"/>
                <w:u w:val="none"/>
                <w:lang w:val="en-US" w:eastAsia="zh-CN"/>
              </w:rPr>
            </w:pPr>
            <w:r>
              <w:rPr>
                <w:rFonts w:hint="default" w:ascii="Times New Roman" w:hAnsi="Times New Roman" w:eastAsia="仿宋_GB2312" w:cs="Times New Roman"/>
                <w:i w:val="0"/>
                <w:iCs w:val="0"/>
                <w:color w:val="000000"/>
                <w:sz w:val="24"/>
                <w:szCs w:val="24"/>
                <w:highlight w:val="none"/>
                <w:u w:val="none"/>
                <w:lang w:val="en-US" w:eastAsia="zh-CN"/>
              </w:rPr>
              <w:t>Global Association of Risk Professionals</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金融</w:t>
            </w:r>
          </w:p>
        </w:tc>
        <w:tc>
          <w:tcPr>
            <w:tcW w:w="4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从事金融风险等相关工作（需要有两年相关工作经验）。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9</w:t>
            </w:r>
          </w:p>
        </w:tc>
        <w:tc>
          <w:tcPr>
            <w:tcW w:w="32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ACCA会计师证书</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28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hint="default" w:ascii="Times New Roman" w:hAnsi="Times New Roman" w:eastAsia="仿宋_GB2312" w:cs="Times New Roman"/>
                <w:i w:val="0"/>
                <w:iCs w:val="0"/>
                <w:color w:val="000000"/>
                <w:sz w:val="24"/>
                <w:szCs w:val="24"/>
                <w:highlight w:val="none"/>
                <w:u w:val="none"/>
                <w:lang w:val="en-US" w:eastAsia="zh-CN"/>
              </w:rPr>
            </w:pPr>
            <w:r>
              <w:rPr>
                <w:rFonts w:hint="default" w:ascii="Times New Roman" w:hAnsi="Times New Roman" w:eastAsia="仿宋_GB2312" w:cs="Times New Roman"/>
                <w:i w:val="0"/>
                <w:iCs w:val="0"/>
                <w:color w:val="000000"/>
                <w:sz w:val="24"/>
                <w:szCs w:val="24"/>
                <w:highlight w:val="none"/>
                <w:u w:val="none"/>
                <w:lang w:val="en-US" w:eastAsia="zh-CN"/>
              </w:rPr>
              <w:t>特许公认会计师公会</w:t>
            </w:r>
          </w:p>
          <w:p>
            <w:pPr>
              <w:keepNext w:val="0"/>
              <w:keepLines w:val="0"/>
              <w:widowControl/>
              <w:suppressLineNumbers w:val="0"/>
              <w:jc w:val="center"/>
              <w:rPr>
                <w:rFonts w:hint="default" w:ascii="Times New Roman" w:hAnsi="Times New Roman" w:eastAsia="仿宋_GB2312" w:cs="Times New Roman"/>
                <w:i w:val="0"/>
                <w:iCs w:val="0"/>
                <w:color w:val="000000"/>
                <w:sz w:val="24"/>
                <w:szCs w:val="24"/>
                <w:highlight w:val="none"/>
                <w:u w:val="none"/>
                <w:lang w:val="en-US" w:eastAsia="zh-CN"/>
              </w:rPr>
            </w:pPr>
            <w:r>
              <w:rPr>
                <w:rFonts w:hint="default" w:ascii="Times New Roman" w:hAnsi="Times New Roman" w:eastAsia="仿宋_GB2312" w:cs="Times New Roman"/>
                <w:i w:val="0"/>
                <w:iCs w:val="0"/>
                <w:color w:val="000000"/>
                <w:sz w:val="24"/>
                <w:szCs w:val="24"/>
                <w:highlight w:val="none"/>
                <w:u w:val="none"/>
                <w:lang w:val="en-US" w:eastAsia="zh-CN"/>
              </w:rPr>
              <w:t>Association of Chartered Certified</w:t>
            </w:r>
          </w:p>
          <w:p>
            <w:pPr>
              <w:keepNext w:val="0"/>
              <w:keepLines w:val="0"/>
              <w:widowControl/>
              <w:suppressLineNumbers w:val="0"/>
              <w:jc w:val="center"/>
              <w:rPr>
                <w:rFonts w:hint="default" w:ascii="Times New Roman" w:hAnsi="Times New Roman" w:eastAsia="仿宋_GB2312" w:cs="Times New Roman"/>
                <w:i w:val="0"/>
                <w:iCs w:val="0"/>
                <w:color w:val="000000"/>
                <w:sz w:val="24"/>
                <w:szCs w:val="24"/>
                <w:highlight w:val="none"/>
                <w:u w:val="none"/>
                <w:lang w:val="en-US" w:eastAsia="zh-CN"/>
              </w:rPr>
            </w:pPr>
            <w:r>
              <w:rPr>
                <w:rFonts w:hint="default" w:ascii="Times New Roman" w:hAnsi="Times New Roman" w:eastAsia="仿宋_GB2312" w:cs="Times New Roman"/>
                <w:i w:val="0"/>
                <w:iCs w:val="0"/>
                <w:color w:val="000000"/>
                <w:sz w:val="24"/>
                <w:szCs w:val="24"/>
                <w:highlight w:val="none"/>
                <w:u w:val="none"/>
                <w:lang w:val="en-US" w:eastAsia="zh-CN"/>
              </w:rPr>
              <w:t>Accountants</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金融、会计</w:t>
            </w:r>
          </w:p>
        </w:tc>
        <w:tc>
          <w:tcPr>
            <w:tcW w:w="4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从事金融、会计和财务管理相关工作。</w:t>
            </w:r>
            <w:r>
              <w:rPr>
                <w:rFonts w:hint="default" w:ascii="Times New Roman" w:hAnsi="Times New Roman" w:eastAsia="仿宋_GB2312" w:cs="Times New Roman"/>
                <w:i w:val="0"/>
                <w:iCs w:val="0"/>
                <w:color w:val="000000"/>
                <w:kern w:val="0"/>
                <w:sz w:val="24"/>
                <w:szCs w:val="24"/>
                <w:u w:val="none"/>
                <w:lang w:val="en-US" w:eastAsia="zh-CN" w:bidi="ar"/>
              </w:rPr>
              <w:t>符合相应职称系列（专业）中级的学历、年限等基本标准条件，可对应为中级职称。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32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AIA会员资格证书</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英国</w:t>
            </w:r>
          </w:p>
        </w:tc>
        <w:tc>
          <w:tcPr>
            <w:tcW w:w="28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国际会计师公会</w:t>
            </w:r>
          </w:p>
          <w:p>
            <w:pPr>
              <w:keepNext w:val="0"/>
              <w:keepLines w:val="0"/>
              <w:widowControl/>
              <w:suppressLineNumbers w:val="0"/>
              <w:jc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The Association of International</w:t>
            </w:r>
          </w:p>
          <w:p>
            <w:pPr>
              <w:keepNext w:val="0"/>
              <w:keepLines w:val="0"/>
              <w:widowControl/>
              <w:suppressLineNumbers w:val="0"/>
              <w:jc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Accountants</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金融</w:t>
            </w:r>
          </w:p>
        </w:tc>
        <w:tc>
          <w:tcPr>
            <w:tcW w:w="4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从事金融、会计和财务管理相关工作。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32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ACA英格兰及威尔士特许会计师</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英国</w:t>
            </w:r>
          </w:p>
        </w:tc>
        <w:tc>
          <w:tcPr>
            <w:tcW w:w="28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英格兰及威尔士特许会计师协会</w:t>
            </w:r>
          </w:p>
          <w:p>
            <w:pPr>
              <w:keepNext w:val="0"/>
              <w:keepLines w:val="0"/>
              <w:widowControl/>
              <w:suppressLineNumbers w:val="0"/>
              <w:jc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The Institute of Chartered Accountants in</w:t>
            </w:r>
          </w:p>
          <w:p>
            <w:pPr>
              <w:keepNext w:val="0"/>
              <w:keepLines w:val="0"/>
              <w:widowControl/>
              <w:suppressLineNumbers w:val="0"/>
              <w:jc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England and Wales</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金融</w:t>
            </w:r>
          </w:p>
        </w:tc>
        <w:tc>
          <w:tcPr>
            <w:tcW w:w="4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从事金融、会计和财务管理相关工作。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32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FIA/FFA 英国正精算师</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英国</w:t>
            </w:r>
          </w:p>
        </w:tc>
        <w:tc>
          <w:tcPr>
            <w:tcW w:w="28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英国精算师协会</w:t>
            </w:r>
          </w:p>
          <w:p>
            <w:pPr>
              <w:keepNext w:val="0"/>
              <w:keepLines w:val="0"/>
              <w:widowControl/>
              <w:suppressLineNumbers w:val="0"/>
              <w:jc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仿宋_GB2312" w:cs="Times New Roman"/>
                <w:i w:val="0"/>
                <w:iCs w:val="0"/>
                <w:color w:val="000000"/>
                <w:sz w:val="24"/>
                <w:szCs w:val="24"/>
                <w:u w:val="none"/>
                <w:lang w:val="en-US" w:eastAsia="zh-CN"/>
              </w:rPr>
              <w:t>Institute and Faculty of Actuaries</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金融</w:t>
            </w:r>
          </w:p>
        </w:tc>
        <w:tc>
          <w:tcPr>
            <w:tcW w:w="4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从事金融、保险和投资相关工作。符合相应职称系列（专业）中级的学历、年限等基本标准条件，可对应为中级职称。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13</w:t>
            </w:r>
          </w:p>
        </w:tc>
        <w:tc>
          <w:tcPr>
            <w:tcW w:w="32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AIA/AFA 英国准精算师</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英国</w:t>
            </w:r>
          </w:p>
        </w:tc>
        <w:tc>
          <w:tcPr>
            <w:tcW w:w="28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英国精算师协会</w:t>
            </w:r>
          </w:p>
          <w:p>
            <w:pPr>
              <w:keepNext w:val="0"/>
              <w:keepLines w:val="0"/>
              <w:widowControl/>
              <w:suppressLineNumbers w:val="0"/>
              <w:jc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仿宋_GB2312" w:cs="Times New Roman"/>
                <w:i w:val="0"/>
                <w:iCs w:val="0"/>
                <w:color w:val="000000"/>
                <w:sz w:val="24"/>
                <w:szCs w:val="24"/>
                <w:u w:val="none"/>
                <w:lang w:val="en-US" w:eastAsia="zh-CN"/>
              </w:rPr>
              <w:t>Institute and Faculty of Actuaries</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金融</w:t>
            </w:r>
          </w:p>
        </w:tc>
        <w:tc>
          <w:tcPr>
            <w:tcW w:w="4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从事金融、保险和投资相关工作。符合相应职称系列（专业）中级的学历、年限等基本标准条件，可对应为中级职称。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default" w:ascii="Times New Roman" w:hAnsi="Times New Roman" w:eastAsia="仿宋_GB2312" w:cs="Times New Roman"/>
                <w:i w:val="0"/>
                <w:iCs w:val="0"/>
                <w:color w:val="000000"/>
                <w:sz w:val="24"/>
                <w:szCs w:val="24"/>
                <w:highlight w:val="none"/>
                <w:u w:val="none"/>
                <w:lang w:val="en-US" w:eastAsia="zh-CN"/>
              </w:rPr>
              <w:t>14</w:t>
            </w:r>
          </w:p>
        </w:tc>
        <w:tc>
          <w:tcPr>
            <w:tcW w:w="32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CPA澳洲注册会计师资格（注册及资深注册会计师）</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澳大利亚</w:t>
            </w:r>
          </w:p>
        </w:tc>
        <w:tc>
          <w:tcPr>
            <w:tcW w:w="289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sz w:val="24"/>
                <w:szCs w:val="24"/>
                <w:highlight w:val="none"/>
                <w:u w:val="none"/>
              </w:rPr>
              <w:t>澳洲会计师公会</w:t>
            </w:r>
          </w:p>
          <w:p>
            <w:pPr>
              <w:jc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sz w:val="24"/>
                <w:szCs w:val="24"/>
                <w:highlight w:val="none"/>
                <w:u w:val="none"/>
              </w:rPr>
              <w:t>Certified</w:t>
            </w:r>
          </w:p>
          <w:p>
            <w:pPr>
              <w:jc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sz w:val="24"/>
                <w:szCs w:val="24"/>
                <w:highlight w:val="none"/>
                <w:u w:val="none"/>
              </w:rPr>
              <w:t>Practising Accountant</w:t>
            </w:r>
          </w:p>
          <w:p>
            <w:pPr>
              <w:jc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sz w:val="24"/>
                <w:szCs w:val="24"/>
                <w:highlight w:val="none"/>
                <w:u w:val="none"/>
              </w:rPr>
              <w:t>(CPA)Australia</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金融、会计</w:t>
            </w:r>
          </w:p>
        </w:tc>
        <w:tc>
          <w:tcPr>
            <w:tcW w:w="4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从事金融、会计和财务管理相关工作。</w:t>
            </w:r>
            <w:r>
              <w:rPr>
                <w:rFonts w:hint="default" w:ascii="Times New Roman" w:hAnsi="Times New Roman" w:eastAsia="仿宋_GB2312" w:cs="Times New Roman"/>
                <w:i w:val="0"/>
                <w:iCs w:val="0"/>
                <w:color w:val="000000"/>
                <w:kern w:val="0"/>
                <w:sz w:val="24"/>
                <w:szCs w:val="24"/>
                <w:u w:val="none"/>
                <w:lang w:val="en-US" w:eastAsia="zh-CN" w:bidi="ar"/>
              </w:rPr>
              <w:t>符合相应职称系列（专业）中级的学历、年限等基本标准条件，可对应为中级职称。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15</w:t>
            </w:r>
          </w:p>
        </w:tc>
        <w:tc>
          <w:tcPr>
            <w:tcW w:w="32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IPA会计师资格（公共及资深会计师）</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289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公共会计师协会</w:t>
            </w:r>
          </w:p>
          <w:p>
            <w:pPr>
              <w:jc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Institute of Public</w:t>
            </w:r>
            <w:r>
              <w:rPr>
                <w:rFonts w:hint="default" w:ascii="Times New Roman" w:hAnsi="Times New Roman" w:eastAsia="仿宋_GB2312" w:cs="Times New Roman"/>
                <w:i w:val="0"/>
                <w:iCs w:val="0"/>
                <w:color w:val="000000"/>
                <w:sz w:val="24"/>
                <w:szCs w:val="24"/>
                <w:u w:val="none"/>
                <w:lang w:val="en-US" w:eastAsia="zh-CN"/>
              </w:rPr>
              <w:t xml:space="preserve"> </w:t>
            </w:r>
            <w:r>
              <w:rPr>
                <w:rFonts w:hint="default" w:ascii="Times New Roman" w:hAnsi="Times New Roman" w:eastAsia="仿宋_GB2312" w:cs="Times New Roman"/>
                <w:i w:val="0"/>
                <w:iCs w:val="0"/>
                <w:color w:val="000000"/>
                <w:sz w:val="24"/>
                <w:szCs w:val="24"/>
                <w:u w:val="none"/>
              </w:rPr>
              <w:t>Accountants</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yellow"/>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金融</w:t>
            </w:r>
          </w:p>
        </w:tc>
        <w:tc>
          <w:tcPr>
            <w:tcW w:w="4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从事金融、会计和财务管理相关工作。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16</w:t>
            </w:r>
          </w:p>
        </w:tc>
        <w:tc>
          <w:tcPr>
            <w:tcW w:w="32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香港注册会计师</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中国香港</w:t>
            </w:r>
          </w:p>
        </w:tc>
        <w:tc>
          <w:tcPr>
            <w:tcW w:w="289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香港会计师公会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金融</w:t>
            </w:r>
          </w:p>
        </w:tc>
        <w:tc>
          <w:tcPr>
            <w:tcW w:w="4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从事金融、会计和财务管理相关工作。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17</w:t>
            </w:r>
          </w:p>
        </w:tc>
        <w:tc>
          <w:tcPr>
            <w:tcW w:w="32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4"/>
                <w:szCs w:val="24"/>
                <w:lang w:val="en-US" w:eastAsia="zh-CN"/>
              </w:rPr>
            </w:pPr>
            <w:r>
              <w:rPr>
                <w:rFonts w:hint="default" w:ascii="Times New Roman" w:hAnsi="Times New Roman" w:eastAsia="仿宋_GB2312" w:cs="Times New Roman"/>
                <w:sz w:val="24"/>
                <w:szCs w:val="24"/>
                <w:lang w:val="en-US" w:eastAsia="zh-CN"/>
              </w:rPr>
              <w:t>IEEE会士证</w:t>
            </w:r>
            <w:r>
              <w:rPr>
                <w:rFonts w:hint="eastAsia" w:eastAsia="仿宋_GB2312" w:cs="Times New Roman"/>
                <w:sz w:val="24"/>
                <w:szCs w:val="24"/>
                <w:lang w:val="en-US" w:eastAsia="zh-CN"/>
              </w:rPr>
              <w:t>书</w:t>
            </w:r>
            <w:r>
              <w:rPr>
                <w:rFonts w:hint="default" w:ascii="Times New Roman" w:hAnsi="Times New Roman" w:eastAsia="仿宋_GB2312" w:cs="Times New Roman"/>
                <w:sz w:val="24"/>
                <w:szCs w:val="24"/>
                <w:lang w:val="en-US" w:eastAsia="zh-CN"/>
              </w:rPr>
              <w:t>（Fe</w:t>
            </w:r>
            <w:r>
              <w:rPr>
                <w:rFonts w:hint="default" w:ascii="Times New Roman" w:hAnsi="Times New Roman" w:eastAsia="仿宋_GB2312" w:cs="Times New Roman"/>
                <w:sz w:val="24"/>
                <w:szCs w:val="24"/>
                <w:lang w:val="en" w:eastAsia="zh-CN"/>
              </w:rPr>
              <w:t>llow</w:t>
            </w:r>
            <w:r>
              <w:rPr>
                <w:rFonts w:hint="default" w:ascii="Times New Roman" w:hAnsi="Times New Roman" w:eastAsia="仿宋_GB2312" w:cs="Times New Roman"/>
                <w:sz w:val="24"/>
                <w:szCs w:val="24"/>
                <w:lang w:val="en-US" w:eastAsia="zh-CN"/>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289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000000"/>
                <w:kern w:val="2"/>
                <w:sz w:val="24"/>
                <w:szCs w:val="24"/>
                <w:u w:val="none"/>
                <w:lang w:val="en" w:eastAsia="zh-CN" w:bidi="ar-SA"/>
              </w:rPr>
            </w:pPr>
            <w:r>
              <w:rPr>
                <w:rFonts w:hint="default" w:ascii="Times New Roman" w:hAnsi="Times New Roman" w:eastAsia="仿宋_GB2312" w:cs="Times New Roman"/>
                <w:i w:val="0"/>
                <w:iCs w:val="0"/>
                <w:color w:val="000000"/>
                <w:sz w:val="24"/>
                <w:szCs w:val="24"/>
                <w:u w:val="none"/>
                <w:lang w:val="en-US" w:eastAsia="zh-CN"/>
              </w:rPr>
              <w:t>电气电子工程师学会</w:t>
            </w:r>
            <w:r>
              <w:rPr>
                <w:rFonts w:hint="default" w:ascii="Times New Roman" w:hAnsi="Times New Roman" w:eastAsia="仿宋_GB2312" w:cs="Times New Roman"/>
                <w:i w:val="0"/>
                <w:iCs w:val="0"/>
                <w:color w:val="000000"/>
                <w:sz w:val="24"/>
                <w:szCs w:val="24"/>
                <w:u w:val="none"/>
                <w:lang w:val="en" w:eastAsia="zh-CN"/>
              </w:rPr>
              <w:t xml:space="preserve">     The Institute of Electrical and Electronics Engineers</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科技、工程</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、信息技术</w:t>
            </w:r>
          </w:p>
        </w:tc>
        <w:tc>
          <w:tcPr>
            <w:tcW w:w="4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从事电气及电子工程、计算机工程、航空航天、生物科技、计算机工程、新能源、地理信息系统、神经网络和无线通信等相关技术研究和应用实践等相关工作。</w:t>
            </w:r>
            <w:r>
              <w:rPr>
                <w:rFonts w:hint="default" w:ascii="Times New Roman" w:hAnsi="Times New Roman" w:eastAsia="仿宋_GB2312" w:cs="Times New Roman"/>
                <w:i w:val="0"/>
                <w:iCs w:val="0"/>
                <w:color w:val="000000"/>
                <w:kern w:val="0"/>
                <w:sz w:val="24"/>
                <w:szCs w:val="24"/>
                <w:u w:val="none"/>
                <w:lang w:val="en-US" w:eastAsia="zh-CN" w:bidi="ar"/>
              </w:rPr>
              <w:t>符合相应职称系列（专业）副高级的学历、年限等基本标准条件，可对应为副高级职称。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18</w:t>
            </w:r>
          </w:p>
        </w:tc>
        <w:tc>
          <w:tcPr>
            <w:tcW w:w="32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IEEE高级会员证书</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2"/>
                <w:sz w:val="24"/>
                <w:szCs w:val="24"/>
                <w:u w:val="none"/>
                <w:lang w:val="en-US" w:eastAsia="zh-CN" w:bidi="ar-SA"/>
              </w:rPr>
              <w:t>（Senior Member）</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289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000000"/>
                <w:kern w:val="2"/>
                <w:sz w:val="24"/>
                <w:szCs w:val="24"/>
                <w:u w:val="none"/>
                <w:lang w:val="en" w:eastAsia="zh-CN" w:bidi="ar-SA"/>
              </w:rPr>
            </w:pPr>
            <w:r>
              <w:rPr>
                <w:rFonts w:hint="default" w:ascii="Times New Roman" w:hAnsi="Times New Roman" w:eastAsia="仿宋_GB2312" w:cs="Times New Roman"/>
                <w:i w:val="0"/>
                <w:iCs w:val="0"/>
                <w:color w:val="000000"/>
                <w:sz w:val="24"/>
                <w:szCs w:val="24"/>
                <w:u w:val="none"/>
                <w:lang w:val="en-US" w:eastAsia="zh-CN"/>
              </w:rPr>
              <w:t>电气电子工程师学会</w:t>
            </w:r>
            <w:r>
              <w:rPr>
                <w:rFonts w:hint="default" w:ascii="Times New Roman" w:hAnsi="Times New Roman" w:eastAsia="仿宋_GB2312" w:cs="Times New Roman"/>
                <w:i w:val="0"/>
                <w:iCs w:val="0"/>
                <w:color w:val="000000"/>
                <w:sz w:val="24"/>
                <w:szCs w:val="24"/>
                <w:u w:val="none"/>
                <w:lang w:val="en" w:eastAsia="zh-CN"/>
              </w:rPr>
              <w:t xml:space="preserve">     The Institute of Electrical and Electronics Engineers</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科技、工程</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、信息技术</w:t>
            </w:r>
          </w:p>
        </w:tc>
        <w:tc>
          <w:tcPr>
            <w:tcW w:w="4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从事电气及电子工程、计算机工程、航空航天、生物科技、计算机工程、新能源、地理信息系统、神经网络和无线通信等相关技术研究和应用实践等相关工作。</w:t>
            </w:r>
            <w:r>
              <w:rPr>
                <w:rFonts w:hint="default" w:ascii="Times New Roman" w:hAnsi="Times New Roman" w:eastAsia="仿宋_GB2312" w:cs="Times New Roman"/>
                <w:i w:val="0"/>
                <w:iCs w:val="0"/>
                <w:color w:val="000000"/>
                <w:kern w:val="0"/>
                <w:sz w:val="24"/>
                <w:szCs w:val="24"/>
                <w:u w:val="none"/>
                <w:lang w:val="en-US" w:eastAsia="zh-CN" w:bidi="ar"/>
              </w:rPr>
              <w:t>符合相应职称系列（专业）副高级的学历、年限等基本标准条件，可对应为副高级职称。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19</w:t>
            </w:r>
          </w:p>
        </w:tc>
        <w:tc>
          <w:tcPr>
            <w:tcW w:w="32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Kubernetes应用程序开发者认证</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289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云原生计算基金会</w:t>
            </w:r>
          </w:p>
          <w:p>
            <w:pPr>
              <w:jc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Cloud Native Computing Foundation</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信息技术</w:t>
            </w:r>
          </w:p>
        </w:tc>
        <w:tc>
          <w:tcPr>
            <w:tcW w:w="4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从事云计算相关工作（需要有两年相关工作经验）。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20</w:t>
            </w:r>
          </w:p>
        </w:tc>
        <w:tc>
          <w:tcPr>
            <w:tcW w:w="32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Kubernetes管理员认证</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289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云原生计算基金会</w:t>
            </w:r>
          </w:p>
          <w:p>
            <w:pPr>
              <w:jc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Cloud Native Computing Foundation</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信息技术</w:t>
            </w:r>
          </w:p>
        </w:tc>
        <w:tc>
          <w:tcPr>
            <w:tcW w:w="4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从事云计算相关工作（需要有两年相关工作经验）。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21</w:t>
            </w:r>
          </w:p>
        </w:tc>
        <w:tc>
          <w:tcPr>
            <w:tcW w:w="32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Kubernetes安全专家认证</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289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云原生计算基金会</w:t>
            </w:r>
          </w:p>
          <w:p>
            <w:pPr>
              <w:jc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Cloud Native Computing Foundation</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信息技术</w:t>
            </w:r>
          </w:p>
        </w:tc>
        <w:tc>
          <w:tcPr>
            <w:tcW w:w="4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从事云计算相关工作（需要有两年相关工作经验）。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22</w:t>
            </w:r>
          </w:p>
        </w:tc>
        <w:tc>
          <w:tcPr>
            <w:tcW w:w="32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亚马逊云科技专业级解决方案架构师认证</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美国</w:t>
            </w:r>
          </w:p>
        </w:tc>
        <w:tc>
          <w:tcPr>
            <w:tcW w:w="289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亚马逊云科技</w:t>
            </w:r>
          </w:p>
          <w:p>
            <w:pPr>
              <w:jc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Amazon Web Services</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信息技术</w:t>
            </w:r>
          </w:p>
        </w:tc>
        <w:tc>
          <w:tcPr>
            <w:tcW w:w="4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从事云计算相关工作（需要有两年相关工作经验）。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23</w:t>
            </w:r>
          </w:p>
        </w:tc>
        <w:tc>
          <w:tcPr>
            <w:tcW w:w="32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DevOps工程师专家</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美国</w:t>
            </w:r>
          </w:p>
        </w:tc>
        <w:tc>
          <w:tcPr>
            <w:tcW w:w="289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000000"/>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微软</w:t>
            </w:r>
            <w:r>
              <w:rPr>
                <w:rFonts w:hint="default" w:ascii="Times New Roman" w:hAnsi="Times New Roman" w:eastAsia="仿宋_GB2312" w:cs="Times New Roman"/>
                <w:i w:val="0"/>
                <w:iCs w:val="0"/>
                <w:color w:val="000000"/>
                <w:kern w:val="2"/>
                <w:sz w:val="24"/>
                <w:szCs w:val="24"/>
                <w:highlight w:val="none"/>
                <w:u w:val="none"/>
                <w:lang w:val="en-US" w:eastAsia="zh-CN" w:bidi="ar-SA"/>
              </w:rPr>
              <w:t>公司</w:t>
            </w:r>
          </w:p>
          <w:p>
            <w:pPr>
              <w:jc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Microsoft</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信息技术</w:t>
            </w:r>
          </w:p>
        </w:tc>
        <w:tc>
          <w:tcPr>
            <w:tcW w:w="4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从事IT开发、信息管理相关工作（需要有两年相关工作经验）。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24</w:t>
            </w:r>
          </w:p>
        </w:tc>
        <w:tc>
          <w:tcPr>
            <w:tcW w:w="32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ITIL资格证书（专家级别及以上）</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希腊</w:t>
            </w:r>
          </w:p>
        </w:tc>
        <w:tc>
          <w:tcPr>
            <w:tcW w:w="289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希腊培思特国际认证中心</w:t>
            </w:r>
          </w:p>
          <w:p>
            <w:pPr>
              <w:jc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PeopleCert International</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信息技术</w:t>
            </w:r>
          </w:p>
        </w:tc>
        <w:tc>
          <w:tcPr>
            <w:tcW w:w="4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从事IT开发、信息管理相关工作（需要有两年相关工作经验）。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25</w:t>
            </w:r>
          </w:p>
        </w:tc>
        <w:tc>
          <w:tcPr>
            <w:tcW w:w="32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药剂师（执业药师）资格</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澳大利亚</w:t>
            </w:r>
          </w:p>
        </w:tc>
        <w:tc>
          <w:tcPr>
            <w:tcW w:w="28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澳洲卫生执业者管理局</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Australian Health Practitioner Regulation</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Agency</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2"/>
                <w:sz w:val="24"/>
                <w:szCs w:val="24"/>
                <w:highlight w:val="none"/>
                <w:u w:val="none"/>
                <w:lang w:val="en-US" w:eastAsia="zh-CN" w:bidi="ar-SA"/>
              </w:rPr>
              <w:t>医疗健康服务</w:t>
            </w:r>
          </w:p>
        </w:tc>
        <w:tc>
          <w:tcPr>
            <w:tcW w:w="4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highlight w:val="yellow"/>
                <w:u w:val="none"/>
                <w:lang w:val="en-US" w:eastAsia="zh-CN" w:bidi="ar-SA"/>
              </w:rPr>
            </w:pPr>
            <w:r>
              <w:rPr>
                <w:rFonts w:hint="default" w:ascii="Times New Roman" w:hAnsi="Times New Roman" w:eastAsia="仿宋_GB2312" w:cs="Times New Roman"/>
                <w:i w:val="0"/>
                <w:iCs w:val="0"/>
                <w:color w:val="000000"/>
                <w:kern w:val="2"/>
                <w:sz w:val="24"/>
                <w:szCs w:val="24"/>
                <w:highlight w:val="none"/>
                <w:u w:val="none"/>
                <w:lang w:val="en-US" w:eastAsia="zh-CN" w:bidi="ar-SA"/>
              </w:rPr>
              <w:t>从事药剂相关工作；执业药师须在我市药监主管部门注册（需要有两年相关工作经验）。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26</w:t>
            </w:r>
          </w:p>
        </w:tc>
        <w:tc>
          <w:tcPr>
            <w:tcW w:w="32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药剂师（执业药师）资格</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英国</w:t>
            </w:r>
          </w:p>
        </w:tc>
        <w:tc>
          <w:tcPr>
            <w:tcW w:w="28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英国药政总局</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General Pharmaceutical Council</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2"/>
                <w:sz w:val="24"/>
                <w:szCs w:val="24"/>
                <w:highlight w:val="none"/>
                <w:u w:val="none"/>
                <w:lang w:val="en-US" w:eastAsia="zh-CN" w:bidi="ar-SA"/>
              </w:rPr>
              <w:t>医疗健康服务</w:t>
            </w:r>
          </w:p>
        </w:tc>
        <w:tc>
          <w:tcPr>
            <w:tcW w:w="4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highlight w:val="yellow"/>
                <w:u w:val="none"/>
                <w:lang w:val="en-US" w:eastAsia="zh-CN" w:bidi="ar-SA"/>
              </w:rPr>
            </w:pPr>
            <w:r>
              <w:rPr>
                <w:rFonts w:hint="default" w:ascii="Times New Roman" w:hAnsi="Times New Roman" w:eastAsia="仿宋_GB2312" w:cs="Times New Roman"/>
                <w:i w:val="0"/>
                <w:iCs w:val="0"/>
                <w:color w:val="000000"/>
                <w:kern w:val="2"/>
                <w:sz w:val="24"/>
                <w:szCs w:val="24"/>
                <w:highlight w:val="none"/>
                <w:u w:val="none"/>
                <w:lang w:val="en-US" w:eastAsia="zh-CN" w:bidi="ar-SA"/>
              </w:rPr>
              <w:t>从事药剂相关工作；执业药师须在我市药监主管部门注册（需要有两年相关工作经验）。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27</w:t>
            </w:r>
          </w:p>
        </w:tc>
        <w:tc>
          <w:tcPr>
            <w:tcW w:w="32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药剂师（执业药师）资格</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中国香港</w:t>
            </w:r>
          </w:p>
        </w:tc>
        <w:tc>
          <w:tcPr>
            <w:tcW w:w="28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香港药剂业及毒药管理局</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2"/>
                <w:sz w:val="24"/>
                <w:szCs w:val="24"/>
                <w:highlight w:val="none"/>
                <w:u w:val="none"/>
                <w:lang w:val="en-US" w:eastAsia="zh-CN" w:bidi="ar-SA"/>
              </w:rPr>
              <w:t>医疗健康服务</w:t>
            </w:r>
          </w:p>
        </w:tc>
        <w:tc>
          <w:tcPr>
            <w:tcW w:w="4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highlight w:val="yellow"/>
                <w:u w:val="none"/>
                <w:lang w:val="en-US" w:eastAsia="zh-CN" w:bidi="ar-SA"/>
              </w:rPr>
            </w:pPr>
            <w:r>
              <w:rPr>
                <w:rFonts w:hint="default" w:ascii="Times New Roman" w:hAnsi="Times New Roman" w:eastAsia="仿宋_GB2312" w:cs="Times New Roman"/>
                <w:i w:val="0"/>
                <w:iCs w:val="0"/>
                <w:color w:val="000000"/>
                <w:kern w:val="2"/>
                <w:sz w:val="24"/>
                <w:szCs w:val="24"/>
                <w:highlight w:val="none"/>
                <w:u w:val="none"/>
                <w:lang w:val="en-US" w:eastAsia="zh-CN" w:bidi="ar-SA"/>
              </w:rPr>
              <w:t>从事药剂相关工作；执业药师须在我市药监主管部门注册（需要有两年相关工作经验）。</w:t>
            </w:r>
          </w:p>
        </w:tc>
      </w:tr>
    </w:tbl>
    <w:p>
      <w:pPr>
        <w:pStyle w:val="4"/>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default" w:ascii="Times New Roman" w:hAnsi="Times New Roman" w:eastAsia="仿宋_GB2312" w:cs="Times New Roman"/>
          <w:sz w:val="32"/>
          <w:szCs w:val="32"/>
        </w:rPr>
      </w:pPr>
    </w:p>
    <w:p>
      <w:pPr>
        <w:pStyle w:val="4"/>
        <w:overflowPunct w:val="0"/>
        <w:adjustRightInd w:val="0"/>
        <w:snapToGrid w:val="0"/>
        <w:spacing w:after="0" w:line="580" w:lineRule="exact"/>
        <w:ind w:firstLine="640" w:firstLineChars="200"/>
        <w:rPr>
          <w:rFonts w:hint="default" w:ascii="Times New Roman" w:hAnsi="Times New Roman" w:eastAsia="仿宋_GB2312" w:cs="Times New Roman"/>
          <w:sz w:val="32"/>
          <w:szCs w:val="32"/>
          <w:lang w:eastAsia="zh-CN"/>
        </w:rPr>
        <w:sectPr>
          <w:footerReference r:id="rId4" w:type="default"/>
          <w:pgSz w:w="16838" w:h="11906" w:orient="landscape"/>
          <w:pgMar w:top="1531" w:right="1440" w:bottom="1531" w:left="1440" w:header="851" w:footer="992" w:gutter="0"/>
          <w:pgNumType w:fmt="numberInDash" w:start="5"/>
          <w:cols w:space="0" w:num="1"/>
          <w:rtlGutter w:val="0"/>
          <w:docGrid w:type="lines" w:linePitch="315" w:charSpace="0"/>
        </w:sectPr>
      </w:pPr>
    </w:p>
    <w:p>
      <w:pPr>
        <w:pStyle w:val="2"/>
        <w:keepNext w:val="0"/>
        <w:keepLines w:val="0"/>
        <w:pageBreakBefore w:val="0"/>
        <w:widowControl w:val="0"/>
        <w:kinsoku/>
        <w:wordWrap/>
        <w:overflowPunct/>
        <w:topLinePunct w:val="0"/>
        <w:autoSpaceDE/>
        <w:autoSpaceDN/>
        <w:bidi w:val="0"/>
        <w:spacing w:after="0" w:line="600" w:lineRule="exact"/>
        <w:ind w:left="0" w:leftChars="0" w:firstLine="0" w:firstLineChars="0"/>
        <w:textAlignment w:val="baseline"/>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pPr>
        <w:pStyle w:val="2"/>
        <w:keepNext w:val="0"/>
        <w:keepLines w:val="0"/>
        <w:pageBreakBefore w:val="0"/>
        <w:widowControl w:val="0"/>
        <w:kinsoku/>
        <w:wordWrap/>
        <w:overflowPunct/>
        <w:topLinePunct w:val="0"/>
        <w:autoSpaceDE/>
        <w:autoSpaceDN/>
        <w:bidi w:val="0"/>
        <w:spacing w:after="0" w:line="600" w:lineRule="exact"/>
        <w:ind w:left="0" w:leftChars="0" w:firstLine="0" w:firstLineChars="0"/>
        <w:textAlignment w:val="baseline"/>
        <w:rPr>
          <w:rFonts w:hint="default" w:ascii="Times New Roman" w:hAnsi="Times New Roman" w:eastAsia="黑体" w:cs="Times New Roman"/>
          <w:sz w:val="32"/>
          <w:szCs w:val="32"/>
          <w:lang w:val="en-US" w:eastAsia="zh-CN"/>
        </w:rPr>
      </w:pPr>
    </w:p>
    <w:p>
      <w:pPr>
        <w:pStyle w:val="2"/>
        <w:keepNext w:val="0"/>
        <w:keepLines w:val="0"/>
        <w:pageBreakBefore w:val="0"/>
        <w:widowControl w:val="0"/>
        <w:kinsoku/>
        <w:wordWrap/>
        <w:overflowPunct/>
        <w:topLinePunct w:val="0"/>
        <w:autoSpaceDE/>
        <w:autoSpaceDN/>
        <w:bidi w:val="0"/>
        <w:spacing w:after="0" w:line="600" w:lineRule="exact"/>
        <w:ind w:left="0" w:leftChars="0" w:firstLine="0" w:firstLineChars="0"/>
        <w:jc w:val="center"/>
        <w:textAlignment w:val="baseline"/>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境外职业资格证书查询验证程序</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一、申请查验。</w:t>
      </w:r>
      <w:r>
        <w:rPr>
          <w:rFonts w:hint="default" w:ascii="Times New Roman" w:hAnsi="Times New Roman" w:eastAsia="仿宋_GB2312" w:cs="Times New Roman"/>
          <w:sz w:val="32"/>
          <w:szCs w:val="32"/>
          <w:lang w:val="en-US" w:eastAsia="zh-CN"/>
        </w:rPr>
        <w:t>用人单位注册登录北京市境外职业资格证书查询验证服务平台（http://easybeijing.fesco.com.cn），提交境外职业资格证书相关信息，在线申请查验。</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二、在线受理。</w:t>
      </w:r>
      <w:r>
        <w:rPr>
          <w:rFonts w:hint="default" w:ascii="Times New Roman" w:hAnsi="Times New Roman" w:eastAsia="仿宋_GB2312" w:cs="Times New Roman"/>
          <w:sz w:val="32"/>
          <w:szCs w:val="32"/>
          <w:lang w:val="en-US" w:eastAsia="zh-CN"/>
        </w:rPr>
        <w:t>查询验证服务平台对符合条件的查验申请进行受理，并根据与境外发证机构等渠道的联络情况，在线告知用人单位查询所需时间。</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0" w:firstLineChars="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三、核验结果。</w:t>
      </w:r>
      <w:r>
        <w:rPr>
          <w:rFonts w:hint="default" w:ascii="Times New Roman" w:hAnsi="Times New Roman" w:eastAsia="仿宋_GB2312" w:cs="Times New Roman"/>
          <w:sz w:val="32"/>
          <w:szCs w:val="32"/>
          <w:lang w:val="en-US" w:eastAsia="zh-CN"/>
        </w:rPr>
        <w:t>查询验证服务平台将查询验证结果在线告知用人单位。</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0" w:firstLineChars="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四、责任确认。</w:t>
      </w:r>
      <w:r>
        <w:rPr>
          <w:rFonts w:hint="default" w:ascii="Times New Roman" w:hAnsi="Times New Roman" w:eastAsia="仿宋_GB2312" w:cs="Times New Roman"/>
          <w:sz w:val="32"/>
          <w:szCs w:val="32"/>
          <w:lang w:val="en-US" w:eastAsia="zh-CN"/>
        </w:rPr>
        <w:t>对于提供虚假材料或不实信息的，查询验证服务平台有权拒绝受理其申请。核查结果仅对证书的真实性进行确认，不对证书持有人真实资历及实际水平进行确认，如产生人事劳动关系等纠纷，查询验证服务平台不因此承担任何法律责任。</w:t>
      </w:r>
    </w:p>
    <w:p>
      <w:pPr>
        <w:rPr>
          <w:rFonts w:hint="eastAsia" w:ascii="Times New Roman" w:eastAsia="仿宋_GB2312"/>
          <w:sz w:val="32"/>
        </w:rPr>
      </w:pPr>
    </w:p>
    <w:p>
      <w:pPr>
        <w:rPr>
          <w:rFonts w:hint="eastAsia" w:ascii="Times New Roman" w:eastAsia="仿宋_GB2312"/>
          <w:sz w:val="32"/>
        </w:rPr>
      </w:pPr>
    </w:p>
    <w:p>
      <w:pPr>
        <w:pStyle w:val="2"/>
        <w:rPr>
          <w:rFonts w:hint="eastAsia" w:ascii="Times New Roman" w:hAnsi="Times New Roman" w:eastAsia="仿宋_GB2312"/>
          <w:sz w:val="32"/>
        </w:rPr>
      </w:pPr>
    </w:p>
    <w:p>
      <w:pPr>
        <w:pStyle w:val="2"/>
        <w:rPr>
          <w:rFonts w:hint="eastAsia" w:ascii="Times New Roman" w:hAnsi="Times New Roman" w:eastAsia="仿宋_GB2312"/>
          <w:sz w:val="32"/>
        </w:rPr>
      </w:pPr>
    </w:p>
    <w:p>
      <w:pPr>
        <w:rPr>
          <w:rFonts w:hint="eastAsia"/>
        </w:rPr>
      </w:pPr>
      <w:bookmarkStart w:id="0" w:name="_GoBack"/>
      <w:bookmarkEnd w:id="0"/>
    </w:p>
    <w:sectPr>
      <w:footerReference r:id="rId5" w:type="default"/>
      <w:footerReference r:id="rId6" w:type="even"/>
      <w:pgSz w:w="11905" w:h="16838"/>
      <w:pgMar w:top="1440" w:right="1531" w:bottom="1440" w:left="1531"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6FCB93-4317-49C7-8A10-3573958C5B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ADC68D6E-2287-4C2E-9B39-2E1EBC014704}"/>
  </w:font>
  <w:font w:name="仿宋_GB2312">
    <w:panose1 w:val="02010609030101010101"/>
    <w:charset w:val="86"/>
    <w:family w:val="modern"/>
    <w:pitch w:val="default"/>
    <w:sig w:usb0="00000001" w:usb1="080E0000" w:usb2="00000000" w:usb3="00000000" w:csb0="00040000" w:csb1="00000000"/>
    <w:embedRegular r:id="rId3" w:fontKey="{193302ED-856D-437F-AECD-143722BEC792}"/>
  </w:font>
  <w:font w:name="楷体_GB2312">
    <w:panose1 w:val="02010609030101010101"/>
    <w:charset w:val="86"/>
    <w:family w:val="auto"/>
    <w:pitch w:val="default"/>
    <w:sig w:usb0="00000001" w:usb1="080E0000" w:usb2="00000000" w:usb3="00000000" w:csb0="00040000" w:csb1="00000000"/>
    <w:embedRegular r:id="rId4" w:fontKey="{78FF1CD1-5FFA-4FEF-A679-CD3D5B6933A9}"/>
  </w:font>
  <w:font w:name="文星简小标宋">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5"/>
                              <w:rFonts w:hint="eastAsia" w:ascii="宋体" w:hAnsi="宋体"/>
                              <w:sz w:val="28"/>
                              <w:szCs w:val="28"/>
                            </w:rPr>
                          </w:pPr>
                          <w:r>
                            <w:rPr>
                              <w:rStyle w:val="15"/>
                              <w:rFonts w:ascii="宋体" w:hAnsi="宋体"/>
                              <w:sz w:val="28"/>
                              <w:szCs w:val="28"/>
                            </w:rPr>
                            <w:fldChar w:fldCharType="begin"/>
                          </w:r>
                          <w:r>
                            <w:rPr>
                              <w:rStyle w:val="15"/>
                              <w:rFonts w:ascii="宋体" w:hAnsi="宋体"/>
                              <w:sz w:val="28"/>
                              <w:szCs w:val="28"/>
                            </w:rPr>
                            <w:instrText xml:space="preserve">PAGE  </w:instrText>
                          </w:r>
                          <w:r>
                            <w:rPr>
                              <w:rStyle w:val="15"/>
                              <w:rFonts w:ascii="宋体" w:hAnsi="宋体"/>
                              <w:sz w:val="28"/>
                              <w:szCs w:val="28"/>
                            </w:rPr>
                            <w:fldChar w:fldCharType="separate"/>
                          </w:r>
                          <w:r>
                            <w:rPr>
                              <w:rStyle w:val="15"/>
                              <w:rFonts w:ascii="宋体" w:hAnsi="宋体"/>
                              <w:sz w:val="28"/>
                              <w:szCs w:val="28"/>
                            </w:rPr>
                            <w:t>1</w:t>
                          </w:r>
                          <w:r>
                            <w:rPr>
                              <w:rStyle w:val="15"/>
                              <w:rFonts w:ascii="宋体" w:hAnsi="宋体"/>
                              <w:sz w:val="28"/>
                              <w:szCs w:val="28"/>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rPr>
                        <w:rStyle w:val="15"/>
                        <w:rFonts w:hint="eastAsia" w:ascii="宋体" w:hAnsi="宋体"/>
                        <w:sz w:val="28"/>
                        <w:szCs w:val="28"/>
                      </w:rPr>
                    </w:pPr>
                    <w:r>
                      <w:rPr>
                        <w:rStyle w:val="15"/>
                        <w:rFonts w:ascii="宋体" w:hAnsi="宋体"/>
                        <w:sz w:val="28"/>
                        <w:szCs w:val="28"/>
                      </w:rPr>
                      <w:fldChar w:fldCharType="begin"/>
                    </w:r>
                    <w:r>
                      <w:rPr>
                        <w:rStyle w:val="15"/>
                        <w:rFonts w:ascii="宋体" w:hAnsi="宋体"/>
                        <w:sz w:val="28"/>
                        <w:szCs w:val="28"/>
                      </w:rPr>
                      <w:instrText xml:space="preserve">PAGE  </w:instrText>
                    </w:r>
                    <w:r>
                      <w:rPr>
                        <w:rStyle w:val="15"/>
                        <w:rFonts w:ascii="宋体" w:hAnsi="宋体"/>
                        <w:sz w:val="28"/>
                        <w:szCs w:val="28"/>
                      </w:rPr>
                      <w:fldChar w:fldCharType="separate"/>
                    </w:r>
                    <w:r>
                      <w:rPr>
                        <w:rStyle w:val="15"/>
                        <w:rFonts w:ascii="宋体" w:hAnsi="宋体"/>
                        <w:sz w:val="28"/>
                        <w:szCs w:val="28"/>
                      </w:rPr>
                      <w:t>1</w:t>
                    </w:r>
                    <w:r>
                      <w:rPr>
                        <w:rStyle w:val="15"/>
                        <w:rFonts w:ascii="宋体" w:hAnsi="宋体"/>
                        <w:sz w:val="28"/>
                        <w:szCs w:val="28"/>
                      </w:rPr>
                      <w:fldChar w:fldCharType="end"/>
                    </w: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NzhkMGE0MWNkOGQ2MGRkNmNiN2JkNGEwZjIzMWU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E1B5278"/>
    <w:rsid w:val="51BF1556"/>
    <w:rsid w:val="57F38C8A"/>
    <w:rsid w:val="5B7D5257"/>
    <w:rsid w:val="5E7DEA82"/>
    <w:rsid w:val="7AE7CC46"/>
    <w:rsid w:val="7B0A3622"/>
    <w:rsid w:val="7B77D0A4"/>
    <w:rsid w:val="7BDFA08C"/>
    <w:rsid w:val="7DDAF8BA"/>
    <w:rsid w:val="7E5EB1C3"/>
    <w:rsid w:val="7E6F19F4"/>
    <w:rsid w:val="AFE936C7"/>
    <w:rsid w:val="CBFB5A05"/>
    <w:rsid w:val="DDFBA9EA"/>
    <w:rsid w:val="DFA6EEF4"/>
    <w:rsid w:val="E7F78BE5"/>
    <w:rsid w:val="EF6FB2CA"/>
    <w:rsid w:val="EFAFBF7A"/>
    <w:rsid w:val="F7975D07"/>
    <w:rsid w:val="FEB5B971"/>
    <w:rsid w:val="FEBDCCD6"/>
    <w:rsid w:val="FEF10AA8"/>
    <w:rsid w:val="FF5BD5EB"/>
    <w:rsid w:val="FF7BD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BodyTextIndent2"/>
    <w:qFormat/>
    <w:uiPriority w:val="0"/>
    <w:pPr>
      <w:widowControl w:val="0"/>
      <w:spacing w:after="120" w:line="480" w:lineRule="auto"/>
      <w:ind w:left="360"/>
      <w:jc w:val="both"/>
      <w:textAlignment w:val="baseline"/>
    </w:pPr>
    <w:rPr>
      <w:rFonts w:ascii="Calibri" w:hAnsi="Calibri" w:eastAsia="宋体" w:cs="Times New Roman"/>
      <w:kern w:val="2"/>
      <w:sz w:val="21"/>
      <w:szCs w:val="24"/>
      <w:lang w:val="en-US" w:eastAsia="zh-CN" w:bidi="ar-SA"/>
    </w:rPr>
  </w:style>
  <w:style w:type="paragraph" w:styleId="3">
    <w:name w:val="index 5"/>
    <w:basedOn w:val="1"/>
    <w:next w:val="1"/>
    <w:qFormat/>
    <w:uiPriority w:val="0"/>
    <w:pPr>
      <w:ind w:left="1680"/>
    </w:pPr>
  </w:style>
  <w:style w:type="paragraph" w:styleId="4">
    <w:name w:val="Body Text"/>
    <w:basedOn w:val="1"/>
    <w:next w:val="5"/>
    <w:qFormat/>
    <w:uiPriority w:val="0"/>
    <w:pPr>
      <w:jc w:val="center"/>
    </w:pPr>
    <w:rPr>
      <w:sz w:val="44"/>
    </w:rPr>
  </w:style>
  <w:style w:type="paragraph" w:styleId="5">
    <w:name w:val="footer"/>
    <w:basedOn w:val="1"/>
    <w:next w:val="3"/>
    <w:qFormat/>
    <w:uiPriority w:val="0"/>
    <w:pPr>
      <w:tabs>
        <w:tab w:val="center" w:pos="4153"/>
        <w:tab w:val="right" w:pos="8306"/>
      </w:tabs>
      <w:snapToGrid w:val="0"/>
      <w:jc w:val="left"/>
    </w:pPr>
    <w:rPr>
      <w:sz w:val="18"/>
      <w:szCs w:val="18"/>
    </w:rPr>
  </w:style>
  <w:style w:type="paragraph" w:styleId="6">
    <w:name w:val="Body Text Indent"/>
    <w:basedOn w:val="1"/>
    <w:qFormat/>
    <w:uiPriority w:val="0"/>
    <w:pPr>
      <w:ind w:firstLine="360"/>
    </w:pPr>
  </w:style>
  <w:style w:type="paragraph" w:styleId="7">
    <w:name w:val="Date"/>
    <w:basedOn w:val="1"/>
    <w:next w:val="1"/>
    <w:qFormat/>
    <w:uiPriority w:val="0"/>
    <w:rPr>
      <w:rFonts w:ascii="仿宋_GB2312" w:eastAsia="仿宋_GB2312"/>
      <w:sz w:val="32"/>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qFormat/>
    <w:uiPriority w:val="0"/>
    <w:pPr>
      <w:spacing w:before="240" w:beforeLines="0" w:beforeAutospacing="0" w:after="60" w:afterLines="0" w:afterAutospacing="0"/>
      <w:jc w:val="left"/>
      <w:outlineLvl w:val="0"/>
    </w:pPr>
    <w:rPr>
      <w:rFonts w:ascii="Arial" w:hAnsi="Arial" w:eastAsia="宋体"/>
      <w:b/>
      <w:sz w:val="32"/>
    </w:rPr>
  </w:style>
  <w:style w:type="paragraph" w:styleId="10">
    <w:name w:val="Body Text First Indent"/>
    <w:basedOn w:val="4"/>
    <w:qFormat/>
    <w:uiPriority w:val="99"/>
    <w:pPr>
      <w:spacing w:line="560" w:lineRule="exact"/>
      <w:ind w:firstLine="721" w:firstLineChars="200"/>
    </w:pPr>
    <w:rPr>
      <w:rFonts w:eastAsia="仿宋_GB2312"/>
      <w:sz w:val="32"/>
    </w:rPr>
  </w:style>
  <w:style w:type="paragraph" w:styleId="11">
    <w:name w:val="Body Text First Indent 2"/>
    <w:basedOn w:val="6"/>
    <w:qFormat/>
    <w:uiPriority w:val="0"/>
    <w:pPr>
      <w:spacing w:line="360" w:lineRule="auto"/>
      <w:ind w:firstLine="420" w:firstLineChars="200"/>
    </w:pPr>
    <w:rPr>
      <w:rFonts w:eastAsia="仿宋_GB2312"/>
      <w:sz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customStyle="1" w:styleId="16">
    <w:name w:val="Hei Ti"/>
    <w:qFormat/>
    <w:uiPriority w:val="0"/>
    <w:rPr>
      <w:rFonts w:ascii="黑体" w:hAnsi="黑体" w:eastAsia="黑体" w:cs="黑体"/>
      <w:sz w:val="32"/>
    </w:rPr>
  </w:style>
  <w:style w:type="character" w:customStyle="1" w:styleId="17">
    <w:name w:val="Hei Ti Bold"/>
    <w:qFormat/>
    <w:uiPriority w:val="0"/>
    <w:rPr>
      <w:rFonts w:ascii="黑体" w:hAnsi="黑体" w:eastAsia="黑体" w:cs="黑体"/>
      <w:b/>
      <w:sz w:val="32"/>
    </w:rPr>
  </w:style>
  <w:style w:type="character" w:customStyle="1" w:styleId="18">
    <w:name w:val="Hei Ti Bold1"/>
    <w:qFormat/>
    <w:uiPriority w:val="0"/>
    <w:rPr>
      <w:rFonts w:ascii="黑体" w:hAnsi="黑体" w:eastAsia="黑体" w:cs="黑体"/>
      <w:b/>
      <w:sz w:val="36"/>
    </w:rPr>
  </w:style>
  <w:style w:type="character" w:customStyle="1" w:styleId="19">
    <w:name w:val="GB_2312"/>
    <w:qFormat/>
    <w:uiPriority w:val="0"/>
    <w:rPr>
      <w:rFonts w:ascii="仿宋_GB2312" w:hAnsi="仿宋_GB2312" w:eastAsia="仿宋_GB2312" w:cs="仿宋_GB2312"/>
      <w:sz w:val="32"/>
    </w:rPr>
  </w:style>
  <w:style w:type="character" w:customStyle="1" w:styleId="20">
    <w:name w:val="GB_23121"/>
    <w:qFormat/>
    <w:uiPriority w:val="0"/>
    <w:rPr>
      <w:rFonts w:ascii="仿宋_GB2312" w:hAnsi="仿宋_GB2312" w:eastAsia="仿宋_GB2312" w:cs="仿宋_GB2312"/>
      <w:sz w:val="36"/>
    </w:rPr>
  </w:style>
  <w:style w:type="character" w:customStyle="1" w:styleId="21">
    <w:name w:val="Red_Color"/>
    <w:qFormat/>
    <w:uiPriority w:val="0"/>
    <w:rPr>
      <w:rFonts w:ascii="方正小标宋简体" w:hAnsi="方正小标宋简体" w:eastAsia="方正小标宋简体" w:cs="方正小标宋简体"/>
      <w:color w:val="000000"/>
      <w:sz w:val="65"/>
    </w:rPr>
  </w:style>
  <w:style w:type="character" w:customStyle="1" w:styleId="22">
    <w:name w:val="KaiTi"/>
    <w:qFormat/>
    <w:uiPriority w:val="0"/>
    <w:rPr>
      <w:rFonts w:ascii="楷体_GB2312" w:hAnsi="楷体_GB2312" w:eastAsia="楷体_GB2312" w:cs="楷体_GB2312"/>
      <w:sz w:val="32"/>
    </w:rPr>
  </w:style>
  <w:style w:type="character" w:customStyle="1" w:styleId="23">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9</Pages>
  <Words>3660</Words>
  <Characters>4478</Characters>
  <Lines>1</Lines>
  <Paragraphs>1</Paragraphs>
  <TotalTime>16</TotalTime>
  <ScaleCrop>false</ScaleCrop>
  <LinksUpToDate>false</LinksUpToDate>
  <CharactersWithSpaces>4750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2020-09-18T22:56:00Z</dcterms:created>
  <dc:creator>linhong</dc:creator>
  <cp:lastModifiedBy>Yan</cp:lastModifiedBy>
  <cp:lastPrinted>2024-01-03T10:29:00Z</cp:lastPrinted>
  <dcterms:modified xsi:type="dcterms:W3CDTF">2024-08-05T10:02:53Z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14C1892BBF0D47CB9D0E0905F803AD19_13</vt:lpwstr>
  </property>
</Properties>
</file>