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2E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5A105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技能人才评价活动现场质量监督评分表</w:t>
      </w:r>
    </w:p>
    <w:p w14:paraId="56794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（示例）</w:t>
      </w:r>
    </w:p>
    <w:p w14:paraId="0B65D595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被督导机构名称：                                机构备案号：</w:t>
      </w:r>
    </w:p>
    <w:p w14:paraId="5631C5EB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督导日期：     时间：                           督导（组）员：</w:t>
      </w:r>
    </w:p>
    <w:tbl>
      <w:tblPr>
        <w:tblStyle w:val="20"/>
        <w:tblW w:w="94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695"/>
        <w:gridCol w:w="1330"/>
        <w:gridCol w:w="5524"/>
        <w:gridCol w:w="647"/>
        <w:gridCol w:w="600"/>
      </w:tblGrid>
      <w:tr w14:paraId="26E1CA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2" w:type="dxa"/>
            <w:noWrap w:val="0"/>
            <w:textDirection w:val="tbRlV"/>
            <w:vAlign w:val="center"/>
          </w:tcPr>
          <w:p w14:paraId="6A7E7FF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环节</w:t>
            </w:r>
          </w:p>
        </w:tc>
        <w:tc>
          <w:tcPr>
            <w:tcW w:w="695" w:type="dxa"/>
            <w:noWrap w:val="0"/>
            <w:vAlign w:val="center"/>
          </w:tcPr>
          <w:p w14:paraId="7FC5366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一级指标</w:t>
            </w:r>
          </w:p>
        </w:tc>
        <w:tc>
          <w:tcPr>
            <w:tcW w:w="1330" w:type="dxa"/>
            <w:noWrap w:val="0"/>
            <w:vAlign w:val="center"/>
          </w:tcPr>
          <w:p w14:paraId="5EF54A1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二级指标</w:t>
            </w:r>
          </w:p>
        </w:tc>
        <w:tc>
          <w:tcPr>
            <w:tcW w:w="5524" w:type="dxa"/>
            <w:noWrap w:val="0"/>
            <w:vAlign w:val="center"/>
          </w:tcPr>
          <w:p w14:paraId="6265C01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评分标准</w:t>
            </w:r>
          </w:p>
          <w:p w14:paraId="34ABAE8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（“符合”满分，“基本符合”酌情给分，“不符合”0分）</w:t>
            </w:r>
          </w:p>
        </w:tc>
        <w:tc>
          <w:tcPr>
            <w:tcW w:w="647" w:type="dxa"/>
            <w:noWrap w:val="0"/>
            <w:vAlign w:val="center"/>
          </w:tcPr>
          <w:p w14:paraId="04529E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分值</w:t>
            </w:r>
          </w:p>
        </w:tc>
        <w:tc>
          <w:tcPr>
            <w:tcW w:w="600" w:type="dxa"/>
            <w:noWrap w:val="0"/>
            <w:vAlign w:val="center"/>
          </w:tcPr>
          <w:p w14:paraId="3D4BCD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评分</w:t>
            </w:r>
          </w:p>
        </w:tc>
      </w:tr>
      <w:tr w14:paraId="2FAFD0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652" w:type="dxa"/>
            <w:vMerge w:val="restart"/>
            <w:tcBorders>
              <w:bottom w:val="nil"/>
            </w:tcBorders>
            <w:noWrap w:val="0"/>
            <w:vAlign w:val="center"/>
          </w:tcPr>
          <w:p w14:paraId="3F7E5C1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7641C80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286E258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5763B6C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49CB500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3B3250E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622FC9A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7DAE11E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6DE8728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79B5E3D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1BF72EE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5D62A1A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03FD507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510FF79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75521BC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考前(28分)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noWrap w:val="0"/>
            <w:vAlign w:val="center"/>
          </w:tcPr>
          <w:p w14:paraId="0309F47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472AACB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机构</w:t>
            </w:r>
          </w:p>
          <w:p w14:paraId="037D34E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信用</w:t>
            </w:r>
          </w:p>
          <w:p w14:paraId="03D85C7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(3分)</w:t>
            </w:r>
          </w:p>
        </w:tc>
        <w:tc>
          <w:tcPr>
            <w:tcW w:w="1330" w:type="dxa"/>
            <w:vMerge w:val="restart"/>
            <w:tcBorders>
              <w:bottom w:val="nil"/>
            </w:tcBorders>
            <w:noWrap w:val="0"/>
            <w:vAlign w:val="center"/>
          </w:tcPr>
          <w:p w14:paraId="229596B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基本情况</w:t>
            </w:r>
          </w:p>
        </w:tc>
        <w:tc>
          <w:tcPr>
            <w:tcW w:w="5524" w:type="dxa"/>
            <w:noWrap w:val="0"/>
            <w:vAlign w:val="center"/>
          </w:tcPr>
          <w:p w14:paraId="635564A8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机构证照（企业营业执照/民办非企业资质证书/组织机构代码证）等资料齐备。</w:t>
            </w:r>
          </w:p>
        </w:tc>
        <w:tc>
          <w:tcPr>
            <w:tcW w:w="647" w:type="dxa"/>
            <w:noWrap w:val="0"/>
            <w:vAlign w:val="center"/>
          </w:tcPr>
          <w:p w14:paraId="61D71A2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 w14:paraId="7BBBD8F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5705D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4B36A9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63B2D2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F89A48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524" w:type="dxa"/>
            <w:noWrap w:val="0"/>
            <w:vAlign w:val="center"/>
          </w:tcPr>
          <w:p w14:paraId="7416F7E1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近三年内无市场监管、税务、人力资源社会保障、民政等部门所作的行政处罚或其它违规处理记录。</w:t>
            </w:r>
          </w:p>
        </w:tc>
        <w:tc>
          <w:tcPr>
            <w:tcW w:w="647" w:type="dxa"/>
            <w:noWrap w:val="0"/>
            <w:vAlign w:val="center"/>
          </w:tcPr>
          <w:p w14:paraId="78F05D9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 w14:paraId="7B8F1AB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2C8DE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89E99D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noWrap w:val="0"/>
            <w:vAlign w:val="center"/>
          </w:tcPr>
          <w:p w14:paraId="1B390EB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0" w:type="dxa"/>
            <w:vMerge w:val="continue"/>
            <w:tcBorders>
              <w:top w:val="nil"/>
            </w:tcBorders>
            <w:noWrap w:val="0"/>
            <w:vAlign w:val="center"/>
          </w:tcPr>
          <w:p w14:paraId="71DA8B3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524" w:type="dxa"/>
            <w:noWrap w:val="0"/>
            <w:vAlign w:val="center"/>
          </w:tcPr>
          <w:p w14:paraId="19916EFF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备案评价范围与机构经营范围相匹配。</w:t>
            </w:r>
          </w:p>
        </w:tc>
        <w:tc>
          <w:tcPr>
            <w:tcW w:w="647" w:type="dxa"/>
            <w:noWrap w:val="0"/>
            <w:vAlign w:val="center"/>
          </w:tcPr>
          <w:p w14:paraId="11DAC9D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 w14:paraId="616078A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35980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B768E5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5" w:type="dxa"/>
            <w:vMerge w:val="restart"/>
            <w:tcBorders>
              <w:bottom w:val="nil"/>
            </w:tcBorders>
            <w:noWrap w:val="0"/>
            <w:vAlign w:val="center"/>
          </w:tcPr>
          <w:p w14:paraId="401091C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评价</w:t>
            </w:r>
          </w:p>
          <w:p w14:paraId="29191C4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方案</w:t>
            </w:r>
          </w:p>
          <w:p w14:paraId="0A1E2BE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(5分)</w:t>
            </w:r>
          </w:p>
        </w:tc>
        <w:tc>
          <w:tcPr>
            <w:tcW w:w="1330" w:type="dxa"/>
            <w:noWrap w:val="0"/>
            <w:vAlign w:val="center"/>
          </w:tcPr>
          <w:p w14:paraId="1F62820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评价活动</w:t>
            </w:r>
          </w:p>
          <w:p w14:paraId="2F1062A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策划</w:t>
            </w:r>
          </w:p>
        </w:tc>
        <w:tc>
          <w:tcPr>
            <w:tcW w:w="5524" w:type="dxa"/>
            <w:noWrap w:val="0"/>
            <w:vAlign w:val="center"/>
          </w:tcPr>
          <w:p w14:paraId="433F8B50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有本批次评价活动的具体可行、规范完整的实施方案。</w:t>
            </w:r>
          </w:p>
        </w:tc>
        <w:tc>
          <w:tcPr>
            <w:tcW w:w="647" w:type="dxa"/>
            <w:noWrap w:val="0"/>
            <w:vAlign w:val="center"/>
          </w:tcPr>
          <w:p w14:paraId="1934B3A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600" w:type="dxa"/>
            <w:noWrap w:val="0"/>
            <w:vAlign w:val="center"/>
          </w:tcPr>
          <w:p w14:paraId="3457B41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2779D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8E8C12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FFB6A3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0" w:type="dxa"/>
            <w:vMerge w:val="restart"/>
            <w:tcBorders>
              <w:bottom w:val="nil"/>
            </w:tcBorders>
            <w:noWrap w:val="0"/>
            <w:vAlign w:val="center"/>
          </w:tcPr>
          <w:p w14:paraId="1F7394F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方案落实和</w:t>
            </w:r>
          </w:p>
          <w:p w14:paraId="37C5D37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保障措施</w:t>
            </w:r>
          </w:p>
        </w:tc>
        <w:tc>
          <w:tcPr>
            <w:tcW w:w="5524" w:type="dxa"/>
            <w:noWrap w:val="0"/>
            <w:vAlign w:val="center"/>
          </w:tcPr>
          <w:p w14:paraId="19881FE6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有保证评价方案实施的保障措施。</w:t>
            </w:r>
          </w:p>
        </w:tc>
        <w:tc>
          <w:tcPr>
            <w:tcW w:w="647" w:type="dxa"/>
            <w:noWrap w:val="0"/>
            <w:vAlign w:val="center"/>
          </w:tcPr>
          <w:p w14:paraId="4F9B8C6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 w14:paraId="79A6576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29AAB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B2C9CF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noWrap w:val="0"/>
            <w:vAlign w:val="center"/>
          </w:tcPr>
          <w:p w14:paraId="0747220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0" w:type="dxa"/>
            <w:vMerge w:val="continue"/>
            <w:tcBorders>
              <w:top w:val="nil"/>
            </w:tcBorders>
            <w:noWrap w:val="0"/>
            <w:vAlign w:val="center"/>
          </w:tcPr>
          <w:p w14:paraId="7F4C931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524" w:type="dxa"/>
            <w:noWrap w:val="0"/>
            <w:vAlign w:val="center"/>
          </w:tcPr>
          <w:p w14:paraId="27871729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有关保障措施明确、量化且可操作。</w:t>
            </w:r>
          </w:p>
        </w:tc>
        <w:tc>
          <w:tcPr>
            <w:tcW w:w="647" w:type="dxa"/>
            <w:noWrap w:val="0"/>
            <w:vAlign w:val="center"/>
          </w:tcPr>
          <w:p w14:paraId="5010088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 w14:paraId="38D4330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E9EC4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63E104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5" w:type="dxa"/>
            <w:vMerge w:val="restart"/>
            <w:tcBorders>
              <w:bottom w:val="nil"/>
            </w:tcBorders>
            <w:noWrap w:val="0"/>
            <w:vAlign w:val="center"/>
          </w:tcPr>
          <w:p w14:paraId="1D0BBF2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信息</w:t>
            </w:r>
          </w:p>
          <w:p w14:paraId="35C11DD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公开</w:t>
            </w:r>
          </w:p>
          <w:p w14:paraId="6D85379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(5分)</w:t>
            </w:r>
          </w:p>
        </w:tc>
        <w:tc>
          <w:tcPr>
            <w:tcW w:w="1330" w:type="dxa"/>
            <w:vMerge w:val="restart"/>
            <w:tcBorders>
              <w:bottom w:val="nil"/>
            </w:tcBorders>
            <w:noWrap w:val="0"/>
            <w:vAlign w:val="center"/>
          </w:tcPr>
          <w:p w14:paraId="0164E68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收费管理</w:t>
            </w:r>
          </w:p>
        </w:tc>
        <w:tc>
          <w:tcPr>
            <w:tcW w:w="5524" w:type="dxa"/>
            <w:noWrap w:val="0"/>
            <w:vAlign w:val="center"/>
          </w:tcPr>
          <w:p w14:paraId="4BF05179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公告评价计划和收费标准。</w:t>
            </w:r>
          </w:p>
        </w:tc>
        <w:tc>
          <w:tcPr>
            <w:tcW w:w="647" w:type="dxa"/>
            <w:noWrap w:val="0"/>
            <w:vAlign w:val="center"/>
          </w:tcPr>
          <w:p w14:paraId="29D25C0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 w14:paraId="20BDEB2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2857D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EDCC56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4CF28B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0" w:type="dxa"/>
            <w:vMerge w:val="continue"/>
            <w:tcBorders>
              <w:top w:val="nil"/>
            </w:tcBorders>
            <w:noWrap w:val="0"/>
            <w:vAlign w:val="center"/>
          </w:tcPr>
          <w:p w14:paraId="5BD8596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524" w:type="dxa"/>
            <w:noWrap w:val="0"/>
            <w:vAlign w:val="center"/>
          </w:tcPr>
          <w:p w14:paraId="2BFB52B7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按评价机构公告的评价计划和收费标准执行。</w:t>
            </w:r>
          </w:p>
        </w:tc>
        <w:tc>
          <w:tcPr>
            <w:tcW w:w="647" w:type="dxa"/>
            <w:noWrap w:val="0"/>
            <w:vAlign w:val="center"/>
          </w:tcPr>
          <w:p w14:paraId="55B39FB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 w14:paraId="1D68C7A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38804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0C2FB9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A113DD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0" w:type="dxa"/>
            <w:noWrap w:val="0"/>
            <w:vAlign w:val="center"/>
          </w:tcPr>
          <w:p w14:paraId="40AC823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结果查询</w:t>
            </w:r>
          </w:p>
        </w:tc>
        <w:tc>
          <w:tcPr>
            <w:tcW w:w="5524" w:type="dxa"/>
            <w:noWrap w:val="0"/>
            <w:vAlign w:val="center"/>
          </w:tcPr>
          <w:p w14:paraId="6965D8D8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评价结果方便查询。</w:t>
            </w:r>
          </w:p>
        </w:tc>
        <w:tc>
          <w:tcPr>
            <w:tcW w:w="647" w:type="dxa"/>
            <w:noWrap w:val="0"/>
            <w:vAlign w:val="center"/>
          </w:tcPr>
          <w:p w14:paraId="4A6AA10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 w14:paraId="2554B7A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47D0A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FD57B7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676FC3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0" w:type="dxa"/>
            <w:vMerge w:val="restart"/>
            <w:tcBorders>
              <w:bottom w:val="nil"/>
            </w:tcBorders>
            <w:noWrap w:val="0"/>
            <w:vAlign w:val="center"/>
          </w:tcPr>
          <w:p w14:paraId="5BBD61B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监督投诉</w:t>
            </w:r>
          </w:p>
          <w:p w14:paraId="2ECF01D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渠道</w:t>
            </w:r>
          </w:p>
        </w:tc>
        <w:tc>
          <w:tcPr>
            <w:tcW w:w="5524" w:type="dxa"/>
            <w:noWrap w:val="0"/>
            <w:vAlign w:val="center"/>
          </w:tcPr>
          <w:p w14:paraId="3A4B088F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设立并公示投诉监督渠道。</w:t>
            </w:r>
          </w:p>
        </w:tc>
        <w:tc>
          <w:tcPr>
            <w:tcW w:w="647" w:type="dxa"/>
            <w:noWrap w:val="0"/>
            <w:vAlign w:val="center"/>
          </w:tcPr>
          <w:p w14:paraId="3611A6D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 w14:paraId="5CAA58F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D2DD8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028150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noWrap w:val="0"/>
            <w:vAlign w:val="center"/>
          </w:tcPr>
          <w:p w14:paraId="2D72D2D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0" w:type="dxa"/>
            <w:vMerge w:val="continue"/>
            <w:tcBorders>
              <w:top w:val="nil"/>
            </w:tcBorders>
            <w:noWrap w:val="0"/>
            <w:vAlign w:val="center"/>
          </w:tcPr>
          <w:p w14:paraId="22766E7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524" w:type="dxa"/>
            <w:noWrap w:val="0"/>
            <w:vAlign w:val="center"/>
          </w:tcPr>
          <w:p w14:paraId="239826EF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投诉受理及时、规范。</w:t>
            </w:r>
          </w:p>
        </w:tc>
        <w:tc>
          <w:tcPr>
            <w:tcW w:w="647" w:type="dxa"/>
            <w:noWrap w:val="0"/>
            <w:vAlign w:val="center"/>
          </w:tcPr>
          <w:p w14:paraId="6738815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 w14:paraId="3B96B64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5AC45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5268BB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5" w:type="dxa"/>
            <w:vMerge w:val="restart"/>
            <w:tcBorders>
              <w:bottom w:val="nil"/>
            </w:tcBorders>
            <w:noWrap w:val="0"/>
            <w:vAlign w:val="center"/>
          </w:tcPr>
          <w:p w14:paraId="40B897D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场地</w:t>
            </w:r>
          </w:p>
          <w:p w14:paraId="6E32FC2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设施</w:t>
            </w:r>
          </w:p>
          <w:p w14:paraId="36B00DA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设备</w:t>
            </w:r>
          </w:p>
          <w:p w14:paraId="1D88CE7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管理</w:t>
            </w:r>
          </w:p>
          <w:p w14:paraId="31C70DA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(7分)</w:t>
            </w:r>
          </w:p>
        </w:tc>
        <w:tc>
          <w:tcPr>
            <w:tcW w:w="1330" w:type="dxa"/>
            <w:vMerge w:val="restart"/>
            <w:tcBorders>
              <w:bottom w:val="nil"/>
            </w:tcBorders>
            <w:noWrap w:val="0"/>
            <w:vAlign w:val="center"/>
          </w:tcPr>
          <w:p w14:paraId="47486CF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理论考场</w:t>
            </w:r>
          </w:p>
          <w:p w14:paraId="4386CCD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安排</w:t>
            </w:r>
          </w:p>
        </w:tc>
        <w:tc>
          <w:tcPr>
            <w:tcW w:w="5524" w:type="dxa"/>
            <w:noWrap w:val="0"/>
            <w:vAlign w:val="center"/>
          </w:tcPr>
          <w:p w14:paraId="09F969B9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考场配备符合国家职业标准（评价规范、专项职业能力考核规范）要求。</w:t>
            </w:r>
          </w:p>
        </w:tc>
        <w:tc>
          <w:tcPr>
            <w:tcW w:w="647" w:type="dxa"/>
            <w:noWrap w:val="0"/>
            <w:vAlign w:val="center"/>
          </w:tcPr>
          <w:p w14:paraId="015C565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 w14:paraId="5110C05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F3F02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FA9931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6BF557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0" w:type="dxa"/>
            <w:vMerge w:val="continue"/>
            <w:tcBorders>
              <w:top w:val="nil"/>
            </w:tcBorders>
            <w:noWrap w:val="0"/>
            <w:vAlign w:val="center"/>
          </w:tcPr>
          <w:p w14:paraId="1D080B4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524" w:type="dxa"/>
            <w:noWrap w:val="0"/>
            <w:vAlign w:val="center"/>
          </w:tcPr>
          <w:p w14:paraId="762C1DBF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场地环境设备物品等符合本批次评价职业（工种）及等级要求。</w:t>
            </w:r>
          </w:p>
        </w:tc>
        <w:tc>
          <w:tcPr>
            <w:tcW w:w="647" w:type="dxa"/>
            <w:noWrap w:val="0"/>
            <w:vAlign w:val="center"/>
          </w:tcPr>
          <w:p w14:paraId="75A7C3E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 w14:paraId="0FE5FB8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EE5A0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7D5DE9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CF629F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0" w:type="dxa"/>
            <w:vMerge w:val="restart"/>
            <w:tcBorders>
              <w:bottom w:val="nil"/>
            </w:tcBorders>
            <w:noWrap w:val="0"/>
            <w:vAlign w:val="center"/>
          </w:tcPr>
          <w:p w14:paraId="3108757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实际操作</w:t>
            </w:r>
          </w:p>
          <w:p w14:paraId="4E76338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场地设施</w:t>
            </w:r>
          </w:p>
          <w:p w14:paraId="2644929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设备管理</w:t>
            </w:r>
          </w:p>
        </w:tc>
        <w:tc>
          <w:tcPr>
            <w:tcW w:w="5524" w:type="dxa"/>
            <w:noWrap w:val="0"/>
            <w:vAlign w:val="center"/>
          </w:tcPr>
          <w:p w14:paraId="3E6DF698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考场配备符合国家职业标准（评价规范、专项职业能力考核规范）要求。</w:t>
            </w:r>
          </w:p>
        </w:tc>
        <w:tc>
          <w:tcPr>
            <w:tcW w:w="647" w:type="dxa"/>
            <w:noWrap w:val="0"/>
            <w:vAlign w:val="center"/>
          </w:tcPr>
          <w:p w14:paraId="0161331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 w14:paraId="029B0F5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178E6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4D9FFB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66B252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0" w:type="dxa"/>
            <w:vMerge w:val="continue"/>
            <w:tcBorders>
              <w:top w:val="nil"/>
            </w:tcBorders>
            <w:noWrap w:val="0"/>
            <w:vAlign w:val="center"/>
          </w:tcPr>
          <w:p w14:paraId="3E66215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524" w:type="dxa"/>
            <w:noWrap w:val="0"/>
            <w:vAlign w:val="center"/>
          </w:tcPr>
          <w:p w14:paraId="778E0D61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场地环境、设施设备、工具量具、材料物品等符合本批次评价职业（工种）及等级要求。</w:t>
            </w:r>
          </w:p>
        </w:tc>
        <w:tc>
          <w:tcPr>
            <w:tcW w:w="647" w:type="dxa"/>
            <w:noWrap w:val="0"/>
            <w:vAlign w:val="center"/>
          </w:tcPr>
          <w:p w14:paraId="5D5B15B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600" w:type="dxa"/>
            <w:noWrap w:val="0"/>
            <w:vAlign w:val="center"/>
          </w:tcPr>
          <w:p w14:paraId="2A14EFE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BEC44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B8B3F0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noWrap w:val="0"/>
            <w:vAlign w:val="center"/>
          </w:tcPr>
          <w:p w14:paraId="6A175FC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0" w:type="dxa"/>
            <w:noWrap w:val="0"/>
            <w:vAlign w:val="center"/>
          </w:tcPr>
          <w:p w14:paraId="778B080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其他相关</w:t>
            </w:r>
          </w:p>
          <w:p w14:paraId="1DF989A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场地管理</w:t>
            </w:r>
          </w:p>
        </w:tc>
        <w:tc>
          <w:tcPr>
            <w:tcW w:w="5524" w:type="dxa"/>
            <w:noWrap w:val="0"/>
            <w:vAlign w:val="center"/>
          </w:tcPr>
          <w:p w14:paraId="01901F65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所需场地安排妥当，能满足相关工作需要。</w:t>
            </w:r>
          </w:p>
        </w:tc>
        <w:tc>
          <w:tcPr>
            <w:tcW w:w="647" w:type="dxa"/>
            <w:noWrap w:val="0"/>
            <w:vAlign w:val="center"/>
          </w:tcPr>
          <w:p w14:paraId="7E4BEA5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600" w:type="dxa"/>
            <w:noWrap w:val="0"/>
            <w:vAlign w:val="center"/>
          </w:tcPr>
          <w:p w14:paraId="7213B1D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F7D67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BDBFFB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5" w:type="dxa"/>
            <w:vMerge w:val="restart"/>
            <w:tcBorders>
              <w:bottom w:val="nil"/>
            </w:tcBorders>
            <w:noWrap w:val="0"/>
            <w:vAlign w:val="center"/>
          </w:tcPr>
          <w:p w14:paraId="54F4A0A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考务</w:t>
            </w:r>
          </w:p>
          <w:p w14:paraId="5EE834C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管理</w:t>
            </w:r>
          </w:p>
          <w:p w14:paraId="4A1D929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(8分)</w:t>
            </w:r>
          </w:p>
        </w:tc>
        <w:tc>
          <w:tcPr>
            <w:tcW w:w="1330" w:type="dxa"/>
            <w:vMerge w:val="restart"/>
            <w:tcBorders>
              <w:bottom w:val="nil"/>
            </w:tcBorders>
            <w:noWrap w:val="0"/>
            <w:vAlign w:val="center"/>
          </w:tcPr>
          <w:p w14:paraId="6480C4E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报名资质</w:t>
            </w:r>
          </w:p>
          <w:p w14:paraId="7314660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审核</w:t>
            </w:r>
          </w:p>
        </w:tc>
        <w:tc>
          <w:tcPr>
            <w:tcW w:w="5524" w:type="dxa"/>
            <w:noWrap w:val="0"/>
            <w:vAlign w:val="center"/>
          </w:tcPr>
          <w:p w14:paraId="7A2A5EDF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有报名资质审核机制。</w:t>
            </w:r>
          </w:p>
        </w:tc>
        <w:tc>
          <w:tcPr>
            <w:tcW w:w="647" w:type="dxa"/>
            <w:noWrap w:val="0"/>
            <w:vAlign w:val="center"/>
          </w:tcPr>
          <w:p w14:paraId="2C714E0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600" w:type="dxa"/>
            <w:noWrap w:val="0"/>
            <w:vAlign w:val="center"/>
          </w:tcPr>
          <w:p w14:paraId="4725210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7D78A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52" w:type="dxa"/>
            <w:vMerge w:val="continue"/>
            <w:tcBorders>
              <w:top w:val="nil"/>
            </w:tcBorders>
            <w:noWrap w:val="0"/>
            <w:vAlign w:val="center"/>
          </w:tcPr>
          <w:p w14:paraId="2B1055E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noWrap w:val="0"/>
            <w:vAlign w:val="center"/>
          </w:tcPr>
          <w:p w14:paraId="3889C95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0" w:type="dxa"/>
            <w:vMerge w:val="continue"/>
            <w:tcBorders>
              <w:top w:val="nil"/>
            </w:tcBorders>
            <w:noWrap w:val="0"/>
            <w:vAlign w:val="center"/>
          </w:tcPr>
          <w:p w14:paraId="1842336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524" w:type="dxa"/>
            <w:noWrap w:val="0"/>
            <w:vAlign w:val="center"/>
          </w:tcPr>
          <w:p w14:paraId="58247B32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报名人员资质符合国家职业标准（评价规范、专项职业能力考核规范）要求。</w:t>
            </w:r>
          </w:p>
        </w:tc>
        <w:tc>
          <w:tcPr>
            <w:tcW w:w="647" w:type="dxa"/>
            <w:noWrap w:val="0"/>
            <w:vAlign w:val="center"/>
          </w:tcPr>
          <w:p w14:paraId="3740549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600" w:type="dxa"/>
            <w:noWrap w:val="0"/>
            <w:vAlign w:val="center"/>
          </w:tcPr>
          <w:p w14:paraId="36C1EAD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57C81C4F"/>
    <w:p w14:paraId="5D7F33D7">
      <w:pPr>
        <w:pStyle w:val="2"/>
      </w:pPr>
    </w:p>
    <w:tbl>
      <w:tblPr>
        <w:tblStyle w:val="20"/>
        <w:tblW w:w="94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636"/>
        <w:gridCol w:w="1333"/>
        <w:gridCol w:w="5521"/>
        <w:gridCol w:w="657"/>
        <w:gridCol w:w="600"/>
      </w:tblGrid>
      <w:tr w14:paraId="32B28D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11" w:type="dxa"/>
            <w:noWrap w:val="0"/>
            <w:textDirection w:val="tbRlV"/>
            <w:vAlign w:val="center"/>
          </w:tcPr>
          <w:p w14:paraId="4271BCE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环节</w:t>
            </w:r>
          </w:p>
        </w:tc>
        <w:tc>
          <w:tcPr>
            <w:tcW w:w="636" w:type="dxa"/>
            <w:noWrap w:val="0"/>
            <w:vAlign w:val="center"/>
          </w:tcPr>
          <w:p w14:paraId="61FCF16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一级指标</w:t>
            </w:r>
          </w:p>
        </w:tc>
        <w:tc>
          <w:tcPr>
            <w:tcW w:w="1333" w:type="dxa"/>
            <w:noWrap w:val="0"/>
            <w:vAlign w:val="center"/>
          </w:tcPr>
          <w:p w14:paraId="4BB615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二级指标</w:t>
            </w:r>
          </w:p>
        </w:tc>
        <w:tc>
          <w:tcPr>
            <w:tcW w:w="5521" w:type="dxa"/>
            <w:noWrap w:val="0"/>
            <w:vAlign w:val="center"/>
          </w:tcPr>
          <w:p w14:paraId="3B9CC5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评分标准</w:t>
            </w:r>
          </w:p>
          <w:p w14:paraId="3197F0E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（“符合”满分，“基本符合”酌情给分，“不符合”0分）</w:t>
            </w:r>
          </w:p>
        </w:tc>
        <w:tc>
          <w:tcPr>
            <w:tcW w:w="657" w:type="dxa"/>
            <w:noWrap w:val="0"/>
            <w:vAlign w:val="center"/>
          </w:tcPr>
          <w:p w14:paraId="595B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分值</w:t>
            </w:r>
          </w:p>
        </w:tc>
        <w:tc>
          <w:tcPr>
            <w:tcW w:w="600" w:type="dxa"/>
            <w:noWrap w:val="0"/>
            <w:vAlign w:val="center"/>
          </w:tcPr>
          <w:p w14:paraId="7B4A803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评分</w:t>
            </w:r>
          </w:p>
        </w:tc>
      </w:tr>
      <w:tr w14:paraId="2DDE72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711" w:type="dxa"/>
            <w:vMerge w:val="restart"/>
            <w:tcBorders>
              <w:bottom w:val="nil"/>
            </w:tcBorders>
            <w:noWrap w:val="0"/>
            <w:vAlign w:val="center"/>
          </w:tcPr>
          <w:p w14:paraId="7417305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7B11F24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42146F1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673D2DE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59FE4DD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1658BD8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412358A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3CC2CC0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32105A4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6432720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4A1FC93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43A9D71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7D2C8C5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3C96B42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461DD4D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70EF73F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277F596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考中(52分)</w:t>
            </w:r>
          </w:p>
        </w:tc>
        <w:tc>
          <w:tcPr>
            <w:tcW w:w="636" w:type="dxa"/>
            <w:vMerge w:val="restart"/>
            <w:tcBorders>
              <w:bottom w:val="nil"/>
            </w:tcBorders>
            <w:noWrap w:val="0"/>
            <w:vAlign w:val="center"/>
          </w:tcPr>
          <w:p w14:paraId="158AD82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考场</w:t>
            </w:r>
          </w:p>
          <w:p w14:paraId="6F4C0F2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</w:t>
            </w:r>
          </w:p>
          <w:p w14:paraId="4F3F084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人员</w:t>
            </w:r>
          </w:p>
          <w:p w14:paraId="2A8481F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配备</w:t>
            </w:r>
          </w:p>
          <w:p w14:paraId="623A2C1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(8分)</w:t>
            </w:r>
          </w:p>
        </w:tc>
        <w:tc>
          <w:tcPr>
            <w:tcW w:w="1333" w:type="dxa"/>
            <w:noWrap w:val="0"/>
            <w:vAlign w:val="center"/>
          </w:tcPr>
          <w:p w14:paraId="01B7882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考评人员</w:t>
            </w:r>
          </w:p>
          <w:p w14:paraId="43A1837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配备</w:t>
            </w:r>
          </w:p>
        </w:tc>
        <w:tc>
          <w:tcPr>
            <w:tcW w:w="5521" w:type="dxa"/>
            <w:noWrap w:val="0"/>
            <w:vAlign w:val="center"/>
          </w:tcPr>
          <w:p w14:paraId="7492D37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按照国家职业标准（评价规范、专项职业能力考核规范）要求配备考评和/或监考人员；考评人员资质合规、数量与评价规模相匹配。</w:t>
            </w:r>
          </w:p>
        </w:tc>
        <w:tc>
          <w:tcPr>
            <w:tcW w:w="657" w:type="dxa"/>
            <w:noWrap w:val="0"/>
            <w:vAlign w:val="center"/>
          </w:tcPr>
          <w:p w14:paraId="7687FA9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600" w:type="dxa"/>
            <w:noWrap w:val="0"/>
            <w:vAlign w:val="top"/>
          </w:tcPr>
          <w:p w14:paraId="315564A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C3A5A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1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64B4CC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87372D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7B9DC8F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考务人员</w:t>
            </w:r>
          </w:p>
          <w:p w14:paraId="476AC4F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配备</w:t>
            </w:r>
          </w:p>
        </w:tc>
        <w:tc>
          <w:tcPr>
            <w:tcW w:w="5521" w:type="dxa"/>
            <w:noWrap w:val="0"/>
            <w:vAlign w:val="center"/>
          </w:tcPr>
          <w:p w14:paraId="7A51CB4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配备考务人员；考务人员数量、能力符合实际工作需要。</w:t>
            </w:r>
          </w:p>
        </w:tc>
        <w:tc>
          <w:tcPr>
            <w:tcW w:w="657" w:type="dxa"/>
            <w:noWrap w:val="0"/>
            <w:vAlign w:val="center"/>
          </w:tcPr>
          <w:p w14:paraId="00079C9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600" w:type="dxa"/>
            <w:noWrap w:val="0"/>
            <w:vAlign w:val="top"/>
          </w:tcPr>
          <w:p w14:paraId="2672D91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6C041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71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86C2CC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noWrap w:val="0"/>
            <w:vAlign w:val="center"/>
          </w:tcPr>
          <w:p w14:paraId="5411D18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510329A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内督员</w:t>
            </w:r>
          </w:p>
          <w:p w14:paraId="234C9E2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配备</w:t>
            </w:r>
          </w:p>
        </w:tc>
        <w:tc>
          <w:tcPr>
            <w:tcW w:w="5521" w:type="dxa"/>
            <w:noWrap w:val="0"/>
            <w:vAlign w:val="center"/>
          </w:tcPr>
          <w:p w14:paraId="6C651C5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配备内部质量督导员；督导员资质合规、数量与评价规模相匹配。</w:t>
            </w:r>
          </w:p>
        </w:tc>
        <w:tc>
          <w:tcPr>
            <w:tcW w:w="657" w:type="dxa"/>
            <w:noWrap w:val="0"/>
            <w:vAlign w:val="center"/>
          </w:tcPr>
          <w:p w14:paraId="70D4A92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600" w:type="dxa"/>
            <w:noWrap w:val="0"/>
            <w:vAlign w:val="top"/>
          </w:tcPr>
          <w:p w14:paraId="100EA0F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AB24E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1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5690F3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36" w:type="dxa"/>
            <w:vMerge w:val="restart"/>
            <w:tcBorders>
              <w:bottom w:val="nil"/>
            </w:tcBorders>
            <w:noWrap w:val="0"/>
            <w:vAlign w:val="center"/>
          </w:tcPr>
          <w:p w14:paraId="162E773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考务</w:t>
            </w:r>
          </w:p>
          <w:p w14:paraId="1C4F1FD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管理</w:t>
            </w:r>
          </w:p>
          <w:p w14:paraId="3C3F4AE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(15分)</w:t>
            </w:r>
          </w:p>
        </w:tc>
        <w:tc>
          <w:tcPr>
            <w:tcW w:w="1333" w:type="dxa"/>
            <w:noWrap w:val="0"/>
            <w:vAlign w:val="center"/>
          </w:tcPr>
          <w:p w14:paraId="6FB13FA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题卷管理</w:t>
            </w:r>
          </w:p>
        </w:tc>
        <w:tc>
          <w:tcPr>
            <w:tcW w:w="5521" w:type="dxa"/>
            <w:noWrap w:val="0"/>
            <w:vAlign w:val="center"/>
          </w:tcPr>
          <w:p w14:paraId="2BD2711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专人负责题卷保存、运送、发收，有符合规定的保存场所和交接程序等。</w:t>
            </w:r>
          </w:p>
        </w:tc>
        <w:tc>
          <w:tcPr>
            <w:tcW w:w="657" w:type="dxa"/>
            <w:noWrap w:val="0"/>
            <w:vAlign w:val="center"/>
          </w:tcPr>
          <w:p w14:paraId="13D7D7C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600" w:type="dxa"/>
            <w:noWrap w:val="0"/>
            <w:vAlign w:val="top"/>
          </w:tcPr>
          <w:p w14:paraId="59C4C2C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715A0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1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4663AE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E9E0AA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37D6FEB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考务过程</w:t>
            </w:r>
          </w:p>
          <w:p w14:paraId="4BDD71F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管理</w:t>
            </w:r>
          </w:p>
        </w:tc>
        <w:tc>
          <w:tcPr>
            <w:tcW w:w="5521" w:type="dxa"/>
            <w:noWrap w:val="0"/>
            <w:vAlign w:val="center"/>
          </w:tcPr>
          <w:p w14:paraId="1AE5200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考务工作符合程序、考务相关人员等按规定上岗履行职责。</w:t>
            </w:r>
          </w:p>
        </w:tc>
        <w:tc>
          <w:tcPr>
            <w:tcW w:w="657" w:type="dxa"/>
            <w:noWrap w:val="0"/>
            <w:vAlign w:val="center"/>
          </w:tcPr>
          <w:p w14:paraId="6284426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600" w:type="dxa"/>
            <w:noWrap w:val="0"/>
            <w:vAlign w:val="top"/>
          </w:tcPr>
          <w:p w14:paraId="5F89A21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E43BB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1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0C4DCC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C8BC54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3" w:type="dxa"/>
            <w:vMerge w:val="restart"/>
            <w:tcBorders>
              <w:bottom w:val="nil"/>
            </w:tcBorders>
            <w:noWrap w:val="0"/>
            <w:vAlign w:val="center"/>
          </w:tcPr>
          <w:p w14:paraId="6C2C2D6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考场秩序</w:t>
            </w:r>
          </w:p>
        </w:tc>
        <w:tc>
          <w:tcPr>
            <w:tcW w:w="5521" w:type="dxa"/>
            <w:noWrap w:val="0"/>
            <w:vAlign w:val="center"/>
          </w:tcPr>
          <w:p w14:paraId="5A72474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现场抽查考生身份信息未发现异常情况。</w:t>
            </w:r>
          </w:p>
        </w:tc>
        <w:tc>
          <w:tcPr>
            <w:tcW w:w="657" w:type="dxa"/>
            <w:noWrap w:val="0"/>
            <w:vAlign w:val="center"/>
          </w:tcPr>
          <w:p w14:paraId="70784C0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600" w:type="dxa"/>
            <w:noWrap w:val="0"/>
            <w:vAlign w:val="top"/>
          </w:tcPr>
          <w:p w14:paraId="67297B3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A20BA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1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627709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307ED3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0B65CE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521" w:type="dxa"/>
            <w:noWrap w:val="0"/>
            <w:vAlign w:val="center"/>
          </w:tcPr>
          <w:p w14:paraId="6EDC03B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考评过程有规范的设备监控。</w:t>
            </w:r>
          </w:p>
        </w:tc>
        <w:tc>
          <w:tcPr>
            <w:tcW w:w="657" w:type="dxa"/>
            <w:noWrap w:val="0"/>
            <w:vAlign w:val="center"/>
          </w:tcPr>
          <w:p w14:paraId="7684EE2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600" w:type="dxa"/>
            <w:noWrap w:val="0"/>
            <w:vAlign w:val="top"/>
          </w:tcPr>
          <w:p w14:paraId="0F7C14E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9E4D6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1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25F712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noWrap w:val="0"/>
            <w:vAlign w:val="center"/>
          </w:tcPr>
          <w:p w14:paraId="35D2E73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3" w:type="dxa"/>
            <w:vMerge w:val="continue"/>
            <w:tcBorders>
              <w:top w:val="nil"/>
            </w:tcBorders>
            <w:noWrap w:val="0"/>
            <w:vAlign w:val="center"/>
          </w:tcPr>
          <w:p w14:paraId="07652FE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521" w:type="dxa"/>
            <w:noWrap w:val="0"/>
            <w:vAlign w:val="center"/>
          </w:tcPr>
          <w:p w14:paraId="662310B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考评现场秩序良好，符合相关管理规定。</w:t>
            </w:r>
          </w:p>
        </w:tc>
        <w:tc>
          <w:tcPr>
            <w:tcW w:w="657" w:type="dxa"/>
            <w:noWrap w:val="0"/>
            <w:vAlign w:val="center"/>
          </w:tcPr>
          <w:p w14:paraId="69E56FC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600" w:type="dxa"/>
            <w:noWrap w:val="0"/>
            <w:vAlign w:val="top"/>
          </w:tcPr>
          <w:p w14:paraId="79BC6B7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51937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1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EEB5FE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36" w:type="dxa"/>
            <w:vMerge w:val="restart"/>
            <w:tcBorders>
              <w:bottom w:val="nil"/>
            </w:tcBorders>
            <w:noWrap w:val="0"/>
            <w:vAlign w:val="center"/>
          </w:tcPr>
          <w:p w14:paraId="02BAC1F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考评</w:t>
            </w:r>
          </w:p>
          <w:p w14:paraId="58EE61B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组织</w:t>
            </w:r>
          </w:p>
          <w:p w14:paraId="1E1D8E6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实施</w:t>
            </w:r>
          </w:p>
          <w:p w14:paraId="14C68AA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(23分)</w:t>
            </w:r>
          </w:p>
        </w:tc>
        <w:tc>
          <w:tcPr>
            <w:tcW w:w="1333" w:type="dxa"/>
            <w:noWrap w:val="0"/>
            <w:vAlign w:val="center"/>
          </w:tcPr>
          <w:p w14:paraId="6F07992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工作人员</w:t>
            </w:r>
          </w:p>
          <w:p w14:paraId="62ADB14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履职</w:t>
            </w:r>
          </w:p>
        </w:tc>
        <w:tc>
          <w:tcPr>
            <w:tcW w:w="5521" w:type="dxa"/>
            <w:noWrap w:val="0"/>
            <w:vAlign w:val="center"/>
          </w:tcPr>
          <w:p w14:paraId="0219614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工作人员依照评价机构工作制度等认真履职、工作落实到位。</w:t>
            </w:r>
          </w:p>
        </w:tc>
        <w:tc>
          <w:tcPr>
            <w:tcW w:w="657" w:type="dxa"/>
            <w:noWrap w:val="0"/>
            <w:vAlign w:val="center"/>
          </w:tcPr>
          <w:p w14:paraId="49DAA5A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600" w:type="dxa"/>
            <w:noWrap w:val="0"/>
            <w:vAlign w:val="top"/>
          </w:tcPr>
          <w:p w14:paraId="78B82C7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9D0E2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1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33286F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A79FB5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3" w:type="dxa"/>
            <w:vMerge w:val="restart"/>
            <w:tcBorders>
              <w:bottom w:val="nil"/>
            </w:tcBorders>
            <w:noWrap w:val="0"/>
            <w:vAlign w:val="center"/>
          </w:tcPr>
          <w:p w14:paraId="21F3B7C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考评方式、</w:t>
            </w:r>
          </w:p>
          <w:p w14:paraId="67F07C9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内容和时长</w:t>
            </w:r>
          </w:p>
        </w:tc>
        <w:tc>
          <w:tcPr>
            <w:tcW w:w="5521" w:type="dxa"/>
            <w:noWrap w:val="0"/>
            <w:vAlign w:val="center"/>
          </w:tcPr>
          <w:p w14:paraId="61E6309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按照国家职业标准（评价规范、专项职业能力考核规范）规定的考核方式进行考核。</w:t>
            </w:r>
          </w:p>
        </w:tc>
        <w:tc>
          <w:tcPr>
            <w:tcW w:w="657" w:type="dxa"/>
            <w:noWrap w:val="0"/>
            <w:vAlign w:val="center"/>
          </w:tcPr>
          <w:p w14:paraId="05F927D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600" w:type="dxa"/>
            <w:noWrap w:val="0"/>
            <w:vAlign w:val="top"/>
          </w:tcPr>
          <w:p w14:paraId="6174DAE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AF1B5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1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E93F38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2CA635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3" w:type="dxa"/>
            <w:vMerge w:val="continue"/>
            <w:tcBorders>
              <w:top w:val="nil"/>
            </w:tcBorders>
            <w:noWrap w:val="0"/>
            <w:vAlign w:val="center"/>
          </w:tcPr>
          <w:p w14:paraId="114B0EB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521" w:type="dxa"/>
            <w:noWrap w:val="0"/>
            <w:vAlign w:val="center"/>
          </w:tcPr>
          <w:p w14:paraId="000CAF2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按照国家职业标准（评价规范、专项职业能力考核规范）规定的考核内容、考核时长进行考核。</w:t>
            </w:r>
          </w:p>
        </w:tc>
        <w:tc>
          <w:tcPr>
            <w:tcW w:w="657" w:type="dxa"/>
            <w:noWrap w:val="0"/>
            <w:vAlign w:val="center"/>
          </w:tcPr>
          <w:p w14:paraId="3859E4B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600" w:type="dxa"/>
            <w:noWrap w:val="0"/>
            <w:vAlign w:val="top"/>
          </w:tcPr>
          <w:p w14:paraId="0BFC462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5D25A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1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2F6D46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249E8D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3" w:type="dxa"/>
            <w:vMerge w:val="restart"/>
            <w:tcBorders>
              <w:bottom w:val="nil"/>
            </w:tcBorders>
            <w:noWrap w:val="0"/>
            <w:vAlign w:val="center"/>
          </w:tcPr>
          <w:p w14:paraId="730689A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考评工作</w:t>
            </w:r>
          </w:p>
          <w:p w14:paraId="62B8BCC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情况</w:t>
            </w:r>
          </w:p>
        </w:tc>
        <w:tc>
          <w:tcPr>
            <w:tcW w:w="5521" w:type="dxa"/>
            <w:noWrap w:val="0"/>
            <w:vAlign w:val="center"/>
          </w:tcPr>
          <w:p w14:paraId="34B159D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考评员、监考员人数符合国家职业标准（评价规范、专项职业能力考核规范）规定，分工合理，职责清晰。</w:t>
            </w:r>
          </w:p>
        </w:tc>
        <w:tc>
          <w:tcPr>
            <w:tcW w:w="657" w:type="dxa"/>
            <w:noWrap w:val="0"/>
            <w:vAlign w:val="center"/>
          </w:tcPr>
          <w:p w14:paraId="7B03DE5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600" w:type="dxa"/>
            <w:noWrap w:val="0"/>
            <w:vAlign w:val="top"/>
          </w:tcPr>
          <w:p w14:paraId="6E79369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FA5C2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1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8D6A1C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3F45F4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EBFC77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521" w:type="dxa"/>
            <w:noWrap w:val="0"/>
            <w:vAlign w:val="center"/>
          </w:tcPr>
          <w:p w14:paraId="524671D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考评组织过程公正、有序。</w:t>
            </w:r>
          </w:p>
        </w:tc>
        <w:tc>
          <w:tcPr>
            <w:tcW w:w="657" w:type="dxa"/>
            <w:noWrap w:val="0"/>
            <w:vAlign w:val="center"/>
          </w:tcPr>
          <w:p w14:paraId="7AAC1FF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600" w:type="dxa"/>
            <w:noWrap w:val="0"/>
            <w:vAlign w:val="top"/>
          </w:tcPr>
          <w:p w14:paraId="704D77C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2ABB3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1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0E4F8C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582FFA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EEEAC3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521" w:type="dxa"/>
            <w:noWrap w:val="0"/>
            <w:vAlign w:val="center"/>
          </w:tcPr>
          <w:p w14:paraId="3192472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严格按照评分标准逐项评分。</w:t>
            </w:r>
          </w:p>
        </w:tc>
        <w:tc>
          <w:tcPr>
            <w:tcW w:w="657" w:type="dxa"/>
            <w:noWrap w:val="0"/>
            <w:vAlign w:val="center"/>
          </w:tcPr>
          <w:p w14:paraId="3305153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600" w:type="dxa"/>
            <w:noWrap w:val="0"/>
            <w:vAlign w:val="top"/>
          </w:tcPr>
          <w:p w14:paraId="216DF0C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85188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1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545370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03B859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3" w:type="dxa"/>
            <w:vMerge w:val="continue"/>
            <w:tcBorders>
              <w:top w:val="nil"/>
            </w:tcBorders>
            <w:noWrap w:val="0"/>
            <w:vAlign w:val="center"/>
          </w:tcPr>
          <w:p w14:paraId="492EC20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521" w:type="dxa"/>
            <w:noWrap w:val="0"/>
            <w:vAlign w:val="center"/>
          </w:tcPr>
          <w:p w14:paraId="43D72C2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评分表记录完整、规范；每位考生的实际操作（综合评审）有3名考评员签字。</w:t>
            </w:r>
          </w:p>
        </w:tc>
        <w:tc>
          <w:tcPr>
            <w:tcW w:w="657" w:type="dxa"/>
            <w:noWrap w:val="0"/>
            <w:vAlign w:val="center"/>
          </w:tcPr>
          <w:p w14:paraId="7F88E75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600" w:type="dxa"/>
            <w:noWrap w:val="0"/>
            <w:vAlign w:val="top"/>
          </w:tcPr>
          <w:p w14:paraId="358E6F6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1A526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1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BCC9B3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noWrap w:val="0"/>
            <w:vAlign w:val="center"/>
          </w:tcPr>
          <w:p w14:paraId="1BC9150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181DF0A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考生成果</w:t>
            </w:r>
          </w:p>
          <w:p w14:paraId="2AC8980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成绩管理</w:t>
            </w:r>
          </w:p>
        </w:tc>
        <w:tc>
          <w:tcPr>
            <w:tcW w:w="5521" w:type="dxa"/>
            <w:noWrap w:val="0"/>
            <w:vAlign w:val="center"/>
          </w:tcPr>
          <w:p w14:paraId="7766B11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考生成果（含答卷、作品、工件、论文等）保存和成绩核定等管理工作规范。</w:t>
            </w:r>
          </w:p>
        </w:tc>
        <w:tc>
          <w:tcPr>
            <w:tcW w:w="657" w:type="dxa"/>
            <w:noWrap w:val="0"/>
            <w:vAlign w:val="center"/>
          </w:tcPr>
          <w:p w14:paraId="18DE286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600" w:type="dxa"/>
            <w:noWrap w:val="0"/>
            <w:vAlign w:val="top"/>
          </w:tcPr>
          <w:p w14:paraId="07FC183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5F20E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1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816D2B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36" w:type="dxa"/>
            <w:vMerge w:val="restart"/>
            <w:tcBorders>
              <w:bottom w:val="nil"/>
            </w:tcBorders>
            <w:noWrap w:val="0"/>
            <w:vAlign w:val="center"/>
          </w:tcPr>
          <w:p w14:paraId="5F1D7DF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内部</w:t>
            </w:r>
          </w:p>
          <w:p w14:paraId="487ED38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督导</w:t>
            </w:r>
          </w:p>
          <w:p w14:paraId="0F82E0F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(6分)</w:t>
            </w:r>
          </w:p>
        </w:tc>
        <w:tc>
          <w:tcPr>
            <w:tcW w:w="1333" w:type="dxa"/>
            <w:vMerge w:val="restart"/>
            <w:tcBorders>
              <w:bottom w:val="nil"/>
            </w:tcBorders>
            <w:noWrap w:val="0"/>
            <w:vAlign w:val="center"/>
          </w:tcPr>
          <w:p w14:paraId="2A69BAB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内督工作</w:t>
            </w:r>
          </w:p>
        </w:tc>
        <w:tc>
          <w:tcPr>
            <w:tcW w:w="5521" w:type="dxa"/>
            <w:noWrap w:val="0"/>
            <w:vAlign w:val="center"/>
          </w:tcPr>
          <w:p w14:paraId="4AA62D3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内部督导员安排及工作程序符合相关规定和要求。</w:t>
            </w:r>
          </w:p>
        </w:tc>
        <w:tc>
          <w:tcPr>
            <w:tcW w:w="657" w:type="dxa"/>
            <w:noWrap w:val="0"/>
            <w:vAlign w:val="center"/>
          </w:tcPr>
          <w:p w14:paraId="0565914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600" w:type="dxa"/>
            <w:noWrap w:val="0"/>
            <w:vAlign w:val="top"/>
          </w:tcPr>
          <w:p w14:paraId="42CD04A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C4BE8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1" w:type="dxa"/>
            <w:vMerge w:val="continue"/>
            <w:tcBorders>
              <w:top w:val="nil"/>
            </w:tcBorders>
            <w:noWrap w:val="0"/>
            <w:vAlign w:val="center"/>
          </w:tcPr>
          <w:p w14:paraId="6D5E150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noWrap w:val="0"/>
            <w:vAlign w:val="center"/>
          </w:tcPr>
          <w:p w14:paraId="0AE3FB9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3" w:type="dxa"/>
            <w:vMerge w:val="continue"/>
            <w:tcBorders>
              <w:top w:val="nil"/>
            </w:tcBorders>
            <w:noWrap w:val="0"/>
            <w:vAlign w:val="center"/>
          </w:tcPr>
          <w:p w14:paraId="6C646CD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521" w:type="dxa"/>
            <w:noWrap w:val="0"/>
            <w:vAlign w:val="center"/>
          </w:tcPr>
          <w:p w14:paraId="52D00CBB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内部督导员履职尽责。</w:t>
            </w:r>
          </w:p>
        </w:tc>
        <w:tc>
          <w:tcPr>
            <w:tcW w:w="657" w:type="dxa"/>
            <w:noWrap w:val="0"/>
            <w:vAlign w:val="center"/>
          </w:tcPr>
          <w:p w14:paraId="71B61F4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600" w:type="dxa"/>
            <w:noWrap w:val="0"/>
            <w:vAlign w:val="top"/>
          </w:tcPr>
          <w:p w14:paraId="52C9A8A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F5038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711" w:type="dxa"/>
            <w:vMerge w:val="restart"/>
            <w:tcBorders>
              <w:bottom w:val="nil"/>
            </w:tcBorders>
            <w:noWrap w:val="0"/>
            <w:vAlign w:val="center"/>
          </w:tcPr>
          <w:p w14:paraId="0E72156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1CA34B7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29C01E3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05C1471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考后(20分)</w:t>
            </w:r>
          </w:p>
        </w:tc>
        <w:tc>
          <w:tcPr>
            <w:tcW w:w="636" w:type="dxa"/>
            <w:vMerge w:val="restart"/>
            <w:tcBorders>
              <w:bottom w:val="nil"/>
            </w:tcBorders>
            <w:noWrap w:val="0"/>
            <w:vAlign w:val="center"/>
          </w:tcPr>
          <w:p w14:paraId="049D1C6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反馈</w:t>
            </w:r>
          </w:p>
          <w:p w14:paraId="4E6198C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机制</w:t>
            </w:r>
          </w:p>
          <w:p w14:paraId="43C2BFD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(10分)</w:t>
            </w:r>
          </w:p>
        </w:tc>
        <w:tc>
          <w:tcPr>
            <w:tcW w:w="1333" w:type="dxa"/>
            <w:vMerge w:val="restart"/>
            <w:tcBorders>
              <w:bottom w:val="nil"/>
            </w:tcBorders>
            <w:noWrap w:val="0"/>
            <w:vAlign w:val="center"/>
          </w:tcPr>
          <w:p w14:paraId="2EF711D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满意度</w:t>
            </w:r>
          </w:p>
        </w:tc>
        <w:tc>
          <w:tcPr>
            <w:tcW w:w="5521" w:type="dxa"/>
            <w:noWrap w:val="0"/>
            <w:vAlign w:val="center"/>
          </w:tcPr>
          <w:p w14:paraId="1C7ECD7D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开展满意度调查。</w:t>
            </w:r>
          </w:p>
        </w:tc>
        <w:tc>
          <w:tcPr>
            <w:tcW w:w="657" w:type="dxa"/>
            <w:noWrap w:val="0"/>
            <w:vAlign w:val="center"/>
          </w:tcPr>
          <w:p w14:paraId="69F09D7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600" w:type="dxa"/>
            <w:noWrap w:val="0"/>
            <w:vAlign w:val="top"/>
          </w:tcPr>
          <w:p w14:paraId="54D41BD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B9EC3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1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0CEDA7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FA0B87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3" w:type="dxa"/>
            <w:vMerge w:val="continue"/>
            <w:tcBorders>
              <w:top w:val="nil"/>
            </w:tcBorders>
            <w:noWrap w:val="0"/>
            <w:vAlign w:val="center"/>
          </w:tcPr>
          <w:p w14:paraId="22D5FBE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521" w:type="dxa"/>
            <w:noWrap w:val="0"/>
            <w:vAlign w:val="center"/>
          </w:tcPr>
          <w:p w14:paraId="523D3C61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调查内容包含考生及考评相关各方对评价机构的工作态度、工作质量、信息公开、社会影响力和诚信度的满意程度。</w:t>
            </w:r>
          </w:p>
        </w:tc>
        <w:tc>
          <w:tcPr>
            <w:tcW w:w="657" w:type="dxa"/>
            <w:noWrap w:val="0"/>
            <w:vAlign w:val="center"/>
          </w:tcPr>
          <w:p w14:paraId="31AA736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600" w:type="dxa"/>
            <w:noWrap w:val="0"/>
            <w:vAlign w:val="top"/>
          </w:tcPr>
          <w:p w14:paraId="7735155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B0C7A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1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EF3140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66DABA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3" w:type="dxa"/>
            <w:vMerge w:val="restart"/>
            <w:tcBorders>
              <w:bottom w:val="nil"/>
            </w:tcBorders>
            <w:noWrap w:val="0"/>
            <w:vAlign w:val="center"/>
          </w:tcPr>
          <w:p w14:paraId="207D779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考生诉求</w:t>
            </w:r>
          </w:p>
          <w:p w14:paraId="2873685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处理</w:t>
            </w:r>
          </w:p>
        </w:tc>
        <w:tc>
          <w:tcPr>
            <w:tcW w:w="5521" w:type="dxa"/>
            <w:noWrap w:val="0"/>
            <w:vAlign w:val="center"/>
          </w:tcPr>
          <w:p w14:paraId="23800734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对考生合理诉求能正确处理或没有投诉情况。</w:t>
            </w:r>
          </w:p>
        </w:tc>
        <w:tc>
          <w:tcPr>
            <w:tcW w:w="657" w:type="dxa"/>
            <w:noWrap w:val="0"/>
            <w:vAlign w:val="center"/>
          </w:tcPr>
          <w:p w14:paraId="6DCF56E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600" w:type="dxa"/>
            <w:noWrap w:val="0"/>
            <w:vAlign w:val="top"/>
          </w:tcPr>
          <w:p w14:paraId="4AC02D3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285EB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1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57FC36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noWrap w:val="0"/>
            <w:vAlign w:val="center"/>
          </w:tcPr>
          <w:p w14:paraId="1E7EA05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3" w:type="dxa"/>
            <w:vMerge w:val="continue"/>
            <w:tcBorders>
              <w:top w:val="nil"/>
            </w:tcBorders>
            <w:noWrap w:val="0"/>
            <w:vAlign w:val="center"/>
          </w:tcPr>
          <w:p w14:paraId="5341E2D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521" w:type="dxa"/>
            <w:noWrap w:val="0"/>
            <w:vAlign w:val="center"/>
          </w:tcPr>
          <w:p w14:paraId="22AEA978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投诉举报意见处理与反馈及时或没有投诉情况。</w:t>
            </w:r>
          </w:p>
        </w:tc>
        <w:tc>
          <w:tcPr>
            <w:tcW w:w="657" w:type="dxa"/>
            <w:noWrap w:val="0"/>
            <w:vAlign w:val="center"/>
          </w:tcPr>
          <w:p w14:paraId="7280D46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600" w:type="dxa"/>
            <w:noWrap w:val="0"/>
            <w:vAlign w:val="top"/>
          </w:tcPr>
          <w:p w14:paraId="17174F7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55EF0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71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516536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36" w:type="dxa"/>
            <w:vMerge w:val="restart"/>
            <w:tcBorders>
              <w:bottom w:val="nil"/>
            </w:tcBorders>
            <w:noWrap w:val="0"/>
            <w:vAlign w:val="center"/>
          </w:tcPr>
          <w:p w14:paraId="7990467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分析</w:t>
            </w:r>
          </w:p>
          <w:p w14:paraId="37CF636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改进</w:t>
            </w:r>
          </w:p>
          <w:p w14:paraId="1C779EE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(10分)</w:t>
            </w:r>
          </w:p>
        </w:tc>
        <w:tc>
          <w:tcPr>
            <w:tcW w:w="1333" w:type="dxa"/>
            <w:noWrap w:val="0"/>
            <w:vAlign w:val="center"/>
          </w:tcPr>
          <w:p w14:paraId="6206CA3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持续改进</w:t>
            </w:r>
          </w:p>
        </w:tc>
        <w:tc>
          <w:tcPr>
            <w:tcW w:w="5521" w:type="dxa"/>
            <w:noWrap w:val="0"/>
            <w:vAlign w:val="center"/>
          </w:tcPr>
          <w:p w14:paraId="4952475D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有持续改进工作机制；对监管部门提出的意见建议、满意度调查结果、内部督导情况等进行分析研究，采取纠正问题和预防问题再发生的有效措施；按期完成纠正整改。</w:t>
            </w:r>
          </w:p>
        </w:tc>
        <w:tc>
          <w:tcPr>
            <w:tcW w:w="657" w:type="dxa"/>
            <w:noWrap w:val="0"/>
            <w:vAlign w:val="center"/>
          </w:tcPr>
          <w:p w14:paraId="17B106A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600" w:type="dxa"/>
            <w:noWrap w:val="0"/>
            <w:vAlign w:val="top"/>
          </w:tcPr>
          <w:p w14:paraId="1FBF87E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078AF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11" w:type="dxa"/>
            <w:vMerge w:val="continue"/>
            <w:tcBorders>
              <w:top w:val="nil"/>
            </w:tcBorders>
            <w:noWrap w:val="0"/>
            <w:vAlign w:val="center"/>
          </w:tcPr>
          <w:p w14:paraId="43FE9E3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noWrap w:val="0"/>
            <w:vAlign w:val="center"/>
          </w:tcPr>
          <w:p w14:paraId="6F1A748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744890C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信息化</w:t>
            </w:r>
          </w:p>
          <w:p w14:paraId="2C43821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建设</w:t>
            </w:r>
          </w:p>
        </w:tc>
        <w:tc>
          <w:tcPr>
            <w:tcW w:w="5521" w:type="dxa"/>
            <w:noWrap w:val="0"/>
            <w:vAlign w:val="center"/>
          </w:tcPr>
          <w:p w14:paraId="771498C5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应用信息化手段开展评价及质量管控。</w:t>
            </w:r>
          </w:p>
        </w:tc>
        <w:tc>
          <w:tcPr>
            <w:tcW w:w="657" w:type="dxa"/>
            <w:noWrap w:val="0"/>
            <w:vAlign w:val="center"/>
          </w:tcPr>
          <w:p w14:paraId="2080D13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600" w:type="dxa"/>
            <w:noWrap w:val="0"/>
            <w:vAlign w:val="top"/>
          </w:tcPr>
          <w:p w14:paraId="747F2A5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9E583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201" w:type="dxa"/>
            <w:gridSpan w:val="4"/>
            <w:noWrap w:val="0"/>
            <w:vAlign w:val="center"/>
          </w:tcPr>
          <w:p w14:paraId="1E5F384E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总分</w:t>
            </w:r>
          </w:p>
        </w:tc>
        <w:tc>
          <w:tcPr>
            <w:tcW w:w="657" w:type="dxa"/>
            <w:noWrap w:val="0"/>
            <w:vAlign w:val="center"/>
          </w:tcPr>
          <w:p w14:paraId="31BE123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100</w:t>
            </w:r>
          </w:p>
        </w:tc>
        <w:tc>
          <w:tcPr>
            <w:tcW w:w="600" w:type="dxa"/>
            <w:noWrap w:val="0"/>
            <w:vAlign w:val="center"/>
          </w:tcPr>
          <w:p w14:paraId="45F5D59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ABE91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47" w:type="dxa"/>
            <w:gridSpan w:val="2"/>
            <w:noWrap w:val="0"/>
            <w:vAlign w:val="center"/>
          </w:tcPr>
          <w:p w14:paraId="5986FBC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不合格项</w:t>
            </w:r>
          </w:p>
        </w:tc>
        <w:tc>
          <w:tcPr>
            <w:tcW w:w="8111" w:type="dxa"/>
            <w:gridSpan w:val="4"/>
            <w:noWrap w:val="0"/>
            <w:vAlign w:val="center"/>
          </w:tcPr>
          <w:tbl>
            <w:tblPr>
              <w:tblStyle w:val="20"/>
              <w:tblW w:w="9349" w:type="dxa"/>
              <w:tblInd w:w="2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002"/>
            </w:tblGrid>
            <w:tr w14:paraId="61755FA2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 w:hRule="atLeast"/>
              </w:trPr>
              <w:tc>
                <w:tcPr>
                  <w:tcW w:w="8002" w:type="dxa"/>
                  <w:noWrap w:val="0"/>
                  <w:vAlign w:val="top"/>
                </w:tcPr>
                <w:p w14:paraId="702293EC">
                  <w:pPr>
                    <w:jc w:val="both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  <w:t>评价机构发生《人力资源社会保障部办公厅 公安部办公厅 市场监管总局办公厅关于加强职业技能评价规范管理工作的通知》（人社厅发〔2024〕27号）及其他有关文件已明确的严重或特别严重违纪违规行为的，本次督导记为不合格。</w:t>
                  </w:r>
                </w:p>
                <w:p w14:paraId="78A79DD9">
                  <w:pPr>
                    <w:jc w:val="both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  <w:t>行为描述：</w:t>
                  </w:r>
                </w:p>
              </w:tc>
            </w:tr>
          </w:tbl>
          <w:p w14:paraId="34243788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61CEE0B2">
      <w:pPr>
        <w:jc w:val="center"/>
        <w:rPr>
          <w:rFonts w:hint="eastAsia" w:ascii="仿宋_GB2312" w:hAnsi="仿宋_GB2312" w:eastAsia="仿宋_GB2312" w:cs="仿宋_GB2312"/>
          <w:sz w:val="21"/>
          <w:szCs w:val="21"/>
        </w:rPr>
      </w:pPr>
    </w:p>
    <w:p w14:paraId="53F148BC">
      <w:pPr>
        <w:jc w:val="center"/>
        <w:rPr>
          <w:rFonts w:hint="eastAsia" w:ascii="仿宋_GB2312" w:hAnsi="仿宋_GB2312" w:eastAsia="仿宋_GB2312" w:cs="仿宋_GB2312"/>
          <w:sz w:val="21"/>
          <w:szCs w:val="21"/>
        </w:rPr>
      </w:pPr>
    </w:p>
    <w:p w14:paraId="63417530">
      <w:pPr>
        <w:ind w:left="638" w:leftChars="0" w:hanging="638" w:hangingChars="304"/>
        <w:jc w:val="both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备注：1.本表督导评分结果≥85分为优良，可视情况给予表扬、增加评价职业范围或提升评价职业技能等级等激励；督导评分结果&lt;60分为不合格，应视情况给予约谈提醒、限期整改、移出评价机构目录等处理。</w:t>
      </w:r>
    </w:p>
    <w:p w14:paraId="64501788">
      <w:pPr>
        <w:ind w:left="636" w:leftChars="303" w:firstLine="0" w:firstLineChars="0"/>
        <w:jc w:val="both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2.对于督导中发现伪造报名资格、伪造试卷、编造虚假材料、不考试就发证、滥发倒卖证书等严重违规行为的，应取消评价结果、宣布证书作废、撤销上传证书数据，追回相应补贴资金，并对相关评价机构给予限期整改、移出评价机构目录等处理。对于督导中发现涉嫌违法犯罪线索的，移交有关部门处理。</w:t>
      </w:r>
    </w:p>
    <w:p w14:paraId="4988CAF0">
      <w:pPr>
        <w:ind w:left="636" w:leftChars="303" w:firstLine="0" w:firstLineChars="0"/>
        <w:jc w:val="both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3.技能人才评价质量督导包括对评价机构管理情况的督导、对评价活动的督导、对违纪违规情况核实等内容，针对不同督导场景，可从《技能人才评价质量督导指标》中选取相关指标，设计相应的督导评分表。</w:t>
      </w:r>
    </w:p>
    <w:p w14:paraId="2FA319C0">
      <w:pPr>
        <w:ind w:left="636" w:leftChars="303" w:firstLine="0" w:firstLineChars="0"/>
        <w:jc w:val="both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4.质量督导前，应从《技能人才评价质量督导指标》中选择与本次督导目标一致的一级指标、二级指标，在考虑所选指标定性、定量方面的特性及权重基础上配置分值，编制督导操作流程和细化的评分内容及评分标准说明。</w:t>
      </w:r>
    </w:p>
    <w:p w14:paraId="34CF5087">
      <w:pPr>
        <w:ind w:left="636" w:leftChars="303" w:firstLine="0" w:firstLineChars="0"/>
        <w:jc w:val="both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5.评价活动现场可分为单一理论知识考试现场（包括传统考场、计算机考场等）、单一操作技能考核现场（包括传统考场、模拟考场等）、论文答辩现场、综合型评价现场及其他类型。对于不同类型评价现场的督导，可结合实际对评分表内容及分值进行有针对性的调整。</w:t>
      </w:r>
    </w:p>
    <w:p w14:paraId="18275053">
      <w:pPr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BC1BA9-77BE-4090-A13F-814D27E200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8817806-8FAF-43E6-A312-099AB55D972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CF4297B-76D5-4379-B1BF-A1ED290F0BB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ED0FC42-12C4-4520-AA6D-AC3365EB8F6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DC5BA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B8BF9B">
                          <w:pPr>
                            <w:pStyle w:val="6"/>
                            <w:rPr>
                              <w:rStyle w:val="11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6D86E9F4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B8BF9B">
                    <w:pPr>
                      <w:pStyle w:val="6"/>
                      <w:rPr>
                        <w:rStyle w:val="11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6D86E9F4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2922C"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6BCB9B92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B954471"/>
    <w:rsid w:val="1FFAD103"/>
    <w:rsid w:val="37F7C26B"/>
    <w:rsid w:val="38F704F1"/>
    <w:rsid w:val="3A3C0B99"/>
    <w:rsid w:val="3A456E91"/>
    <w:rsid w:val="4FAC6A1E"/>
    <w:rsid w:val="55FD3F26"/>
    <w:rsid w:val="5EFA0A54"/>
    <w:rsid w:val="65B5316B"/>
    <w:rsid w:val="6BABCF56"/>
    <w:rsid w:val="6FEC122C"/>
    <w:rsid w:val="77EF47BA"/>
    <w:rsid w:val="7CFD0376"/>
    <w:rsid w:val="7FB1A83D"/>
    <w:rsid w:val="B41A5FF6"/>
    <w:rsid w:val="B7BF10EB"/>
    <w:rsid w:val="D7BEAB94"/>
    <w:rsid w:val="DF7FDE64"/>
    <w:rsid w:val="E2BD6AE1"/>
    <w:rsid w:val="E5FEBB5E"/>
    <w:rsid w:val="E9FF1E01"/>
    <w:rsid w:val="FFD6E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spacing w:after="120" w:line="480" w:lineRule="auto"/>
      <w:ind w:left="360"/>
      <w:textAlignment w:val="baseline"/>
    </w:p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table" w:customStyle="1" w:styleId="2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9518</Words>
  <Characters>9665</Characters>
  <Lines>1</Lines>
  <Paragraphs>1</Paragraphs>
  <TotalTime>7</TotalTime>
  <ScaleCrop>false</ScaleCrop>
  <LinksUpToDate>false</LinksUpToDate>
  <CharactersWithSpaces>9851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2020-09-16T22:56:00Z</dcterms:created>
  <dc:creator>admin</dc:creator>
  <cp:lastModifiedBy>Yan</cp:lastModifiedBy>
  <cp:lastPrinted>2024-09-24T17:25:00Z</cp:lastPrinted>
  <dcterms:modified xsi:type="dcterms:W3CDTF">2024-09-24T02:24:00Z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232F9F648B1E44208DE60D2E35FFCB37_13</vt:lpwstr>
  </property>
</Properties>
</file>