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F3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eastAsia="方正小标宋简体" w:cs="方正小标宋简体"/>
          <w:sz w:val="44"/>
          <w:szCs w:val="44"/>
          <w:lang w:eastAsia="zh-CN"/>
        </w:rPr>
        <w:t>市人社局市财政局</w:t>
      </w:r>
      <w:r>
        <w:rPr>
          <w:rFonts w:hint="eastAsia" w:ascii="Times New Roman" w:hAnsi="Times New Roman" w:eastAsia="方正小标宋简体" w:cs="方正小标宋简体"/>
          <w:sz w:val="44"/>
          <w:szCs w:val="44"/>
        </w:rPr>
        <w:t>关于</w:t>
      </w:r>
      <w:r>
        <w:rPr>
          <w:rFonts w:hint="eastAsia" w:eastAsia="方正小标宋简体" w:cs="方正小标宋简体"/>
          <w:sz w:val="44"/>
          <w:szCs w:val="44"/>
          <w:lang w:eastAsia="zh-CN"/>
        </w:rPr>
        <w:t>进一步</w:t>
      </w:r>
      <w:r>
        <w:rPr>
          <w:rFonts w:hint="eastAsia" w:ascii="Times New Roman" w:hAnsi="Times New Roman" w:eastAsia="方正小标宋简体" w:cs="方正小标宋简体"/>
          <w:sz w:val="44"/>
          <w:szCs w:val="44"/>
        </w:rPr>
        <w:t>做好</w:t>
      </w:r>
      <w:r>
        <w:rPr>
          <w:rFonts w:hint="eastAsia" w:ascii="Times New Roman" w:hAnsi="Times New Roman" w:eastAsia="方正小标宋简体" w:cs="方正小标宋简体"/>
          <w:sz w:val="44"/>
          <w:szCs w:val="44"/>
          <w:lang w:val="en-US" w:eastAsia="zh-CN"/>
        </w:rPr>
        <w:t>高校</w:t>
      </w:r>
    </w:p>
    <w:p w14:paraId="3B0967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毕业生</w:t>
      </w:r>
      <w:r>
        <w:rPr>
          <w:rFonts w:hint="eastAsia" w:ascii="Times New Roman" w:hAnsi="Times New Roman" w:eastAsia="方正小标宋简体" w:cs="方正小标宋简体"/>
          <w:sz w:val="44"/>
          <w:szCs w:val="44"/>
        </w:rPr>
        <w:t>灵活就业社会保险补贴</w:t>
      </w:r>
    </w:p>
    <w:p w14:paraId="07C4F9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有关工作的通知</w:t>
      </w:r>
    </w:p>
    <w:p w14:paraId="34F00A26">
      <w:pPr>
        <w:keepNext w:val="0"/>
        <w:keepLines w:val="0"/>
        <w:pageBreakBefore w:val="0"/>
        <w:kinsoku/>
        <w:wordWrap/>
        <w:overflowPunct/>
        <w:topLinePunct w:val="0"/>
        <w:autoSpaceDE/>
        <w:autoSpaceDN/>
        <w:bidi w:val="0"/>
        <w:adjustRightInd w:val="0"/>
        <w:snapToGrid/>
        <w:spacing w:line="560" w:lineRule="exact"/>
        <w:jc w:val="left"/>
        <w:textAlignment w:val="auto"/>
        <w:rPr>
          <w:rFonts w:eastAsia="仿宋_GB2312"/>
          <w:sz w:val="32"/>
        </w:rPr>
      </w:pPr>
    </w:p>
    <w:p w14:paraId="5D06E111">
      <w:pPr>
        <w:keepNext w:val="0"/>
        <w:keepLines w:val="0"/>
        <w:pageBreakBefore w:val="0"/>
        <w:kinsoku/>
        <w:wordWrap/>
        <w:overflowPunct/>
        <w:topLinePunct w:val="0"/>
        <w:autoSpaceDE/>
        <w:autoSpaceDN/>
        <w:bidi w:val="0"/>
        <w:adjustRightInd w:val="0"/>
        <w:snapToGrid/>
        <w:spacing w:line="560" w:lineRule="exact"/>
        <w:jc w:val="both"/>
        <w:textAlignment w:val="auto"/>
        <w:rPr>
          <w:rFonts w:hint="eastAsia" w:ascii="Times New Roman" w:hAnsi="Times New Roman" w:eastAsia="仿宋_GB2312" w:cs="仿宋_GB2312"/>
          <w:sz w:val="32"/>
          <w:szCs w:val="32"/>
        </w:rPr>
      </w:pPr>
      <w:r>
        <w:rPr>
          <w:rFonts w:eastAsia="仿宋_GB2312"/>
          <w:sz w:val="32"/>
          <w:szCs w:val="32"/>
        </w:rPr>
        <w:t>各区人力资源和社会保障局、</w:t>
      </w:r>
      <w:r>
        <w:rPr>
          <w:rFonts w:hint="eastAsia" w:eastAsia="仿宋_GB2312"/>
          <w:sz w:val="32"/>
          <w:szCs w:val="32"/>
          <w:lang w:eastAsia="zh-CN"/>
        </w:rPr>
        <w:t>财政局，</w:t>
      </w:r>
      <w:r>
        <w:rPr>
          <w:rFonts w:hint="eastAsia" w:eastAsia="仿宋_GB2312"/>
          <w:sz w:val="32"/>
          <w:szCs w:val="32"/>
          <w:lang w:val="en-US" w:eastAsia="zh-CN"/>
        </w:rPr>
        <w:t>有关单位</w:t>
      </w:r>
      <w:r>
        <w:rPr>
          <w:rFonts w:eastAsia="仿宋_GB2312"/>
          <w:sz w:val="32"/>
          <w:szCs w:val="32"/>
        </w:rPr>
        <w:t>：</w:t>
      </w:r>
    </w:p>
    <w:p w14:paraId="01DC77A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为支持高校毕业生灵活就业，根据国家</w:t>
      </w:r>
      <w:r>
        <w:rPr>
          <w:rFonts w:hint="eastAsia" w:eastAsia="仿宋_GB2312" w:cs="仿宋_GB2312"/>
          <w:sz w:val="32"/>
          <w:szCs w:val="32"/>
          <w:lang w:eastAsia="zh-CN"/>
        </w:rPr>
        <w:t>和</w:t>
      </w:r>
      <w:r>
        <w:rPr>
          <w:rFonts w:hint="eastAsia" w:ascii="Times New Roman" w:hAnsi="Times New Roman" w:eastAsia="仿宋_GB2312" w:cs="仿宋_GB2312"/>
          <w:sz w:val="32"/>
          <w:szCs w:val="32"/>
          <w:lang w:eastAsia="zh-CN"/>
        </w:rPr>
        <w:t>本市相关规定，现就</w:t>
      </w:r>
      <w:r>
        <w:rPr>
          <w:rFonts w:hint="eastAsia" w:eastAsia="仿宋_GB2312" w:cs="仿宋_GB2312"/>
          <w:sz w:val="32"/>
          <w:szCs w:val="32"/>
          <w:lang w:eastAsia="zh-CN"/>
        </w:rPr>
        <w:t>进一步</w:t>
      </w:r>
      <w:r>
        <w:rPr>
          <w:rFonts w:hint="eastAsia" w:ascii="Times New Roman" w:hAnsi="Times New Roman" w:eastAsia="仿宋_GB2312" w:cs="仿宋_GB2312"/>
          <w:sz w:val="32"/>
          <w:szCs w:val="32"/>
          <w:lang w:eastAsia="zh-CN"/>
        </w:rPr>
        <w:t>做好高校毕业生灵活就业社会保险补贴有关工作通知如下：</w:t>
      </w:r>
    </w:p>
    <w:p w14:paraId="6070C06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黑体"/>
          <w:sz w:val="32"/>
          <w:szCs w:val="32"/>
          <w:lang w:eastAsia="zh-CN"/>
        </w:rPr>
      </w:pPr>
      <w:r>
        <w:rPr>
          <w:rFonts w:hint="eastAsia" w:eastAsia="黑体"/>
          <w:sz w:val="32"/>
          <w:szCs w:val="32"/>
          <w:lang w:eastAsia="zh-CN"/>
        </w:rPr>
        <w:t>一、补贴对象及条件</w:t>
      </w:r>
    </w:p>
    <w:p w14:paraId="5A11441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通过无雇工个体经营、非全日制以及新就业形态等方式实现灵活就业，在本市办理灵活就业登记，</w:t>
      </w:r>
      <w:r>
        <w:rPr>
          <w:rFonts w:hint="eastAsia" w:eastAsia="仿宋_GB2312" w:cs="仿宋_GB2312"/>
          <w:sz w:val="32"/>
          <w:szCs w:val="32"/>
          <w:lang w:val="en-US" w:eastAsia="zh-CN"/>
        </w:rPr>
        <w:t>依法</w:t>
      </w:r>
      <w:r>
        <w:rPr>
          <w:rFonts w:hint="eastAsia" w:ascii="Times New Roman" w:hAnsi="Times New Roman" w:eastAsia="仿宋_GB2312" w:cs="仿宋_GB2312"/>
          <w:sz w:val="32"/>
          <w:szCs w:val="32"/>
          <w:lang w:val="en-US" w:eastAsia="zh-CN"/>
        </w:rPr>
        <w:t>缴纳社会保险费的本市院校和本市生源外省市院校离校</w:t>
      </w:r>
      <w:r>
        <w:rPr>
          <w:rFonts w:hint="eastAsia" w:eastAsia="仿宋_GB2312" w:cs="仿宋_GB2312"/>
          <w:color w:val="000000"/>
          <w:kern w:val="0"/>
          <w:sz w:val="32"/>
          <w:szCs w:val="32"/>
          <w:lang w:val="en-US" w:eastAsia="zh-CN"/>
        </w:rPr>
        <w:t>2</w:t>
      </w:r>
      <w:r>
        <w:rPr>
          <w:rFonts w:hint="eastAsia" w:ascii="Times New Roman" w:hAnsi="Times New Roman" w:eastAsia="仿宋_GB2312" w:cs="仿宋_GB2312"/>
          <w:sz w:val="32"/>
          <w:szCs w:val="32"/>
          <w:lang w:val="en-US" w:eastAsia="zh-CN"/>
        </w:rPr>
        <w:t>年内未就业</w:t>
      </w:r>
      <w:r>
        <w:rPr>
          <w:rFonts w:hint="eastAsia" w:eastAsia="仿宋_GB2312" w:cs="仿宋_GB2312"/>
          <w:sz w:val="32"/>
          <w:szCs w:val="32"/>
          <w:lang w:val="en-US" w:eastAsia="zh-CN"/>
        </w:rPr>
        <w:t>的</w:t>
      </w:r>
      <w:r>
        <w:rPr>
          <w:rFonts w:hint="eastAsia" w:ascii="Times New Roman" w:hAnsi="Times New Roman" w:eastAsia="仿宋_GB2312" w:cs="仿宋_GB2312"/>
          <w:sz w:val="32"/>
          <w:szCs w:val="32"/>
          <w:lang w:val="en-US" w:eastAsia="zh-CN"/>
        </w:rPr>
        <w:t>高校毕业生</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同时满足以下条件</w:t>
      </w:r>
      <w:r>
        <w:rPr>
          <w:rFonts w:hint="eastAsia" w:eastAsia="仿宋_GB2312" w:cs="仿宋_GB2312"/>
          <w:sz w:val="32"/>
          <w:szCs w:val="32"/>
          <w:lang w:val="en-US" w:eastAsia="zh-CN"/>
        </w:rPr>
        <w:t>可以领取</w:t>
      </w:r>
      <w:r>
        <w:rPr>
          <w:rFonts w:hint="eastAsia" w:ascii="Times New Roman" w:hAnsi="Times New Roman" w:eastAsia="仿宋_GB2312" w:cs="仿宋_GB2312"/>
          <w:sz w:val="32"/>
          <w:szCs w:val="32"/>
          <w:lang w:eastAsia="zh-CN"/>
        </w:rPr>
        <w:t>社会保险</w:t>
      </w:r>
      <w:r>
        <w:rPr>
          <w:rFonts w:hint="eastAsia" w:eastAsia="仿宋_GB2312" w:cs="仿宋_GB2312"/>
          <w:sz w:val="32"/>
          <w:szCs w:val="32"/>
          <w:lang w:val="en-US" w:eastAsia="zh-CN"/>
        </w:rPr>
        <w:t>补贴</w:t>
      </w:r>
      <w:r>
        <w:rPr>
          <w:rFonts w:hint="eastAsia" w:ascii="Times New Roman" w:hAnsi="Times New Roman" w:eastAsia="仿宋_GB2312" w:cs="仿宋_GB2312"/>
          <w:sz w:val="32"/>
          <w:szCs w:val="32"/>
          <w:lang w:val="en-US" w:eastAsia="zh-CN"/>
        </w:rPr>
        <w:t>：</w:t>
      </w:r>
    </w:p>
    <w:p w14:paraId="586FCA9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eastAsia="仿宋_GB2312" w:cs="仿宋_GB2312"/>
          <w:color w:val="000000"/>
          <w:kern w:val="0"/>
          <w:sz w:val="32"/>
          <w:szCs w:val="32"/>
          <w:lang w:val="en-US" w:eastAsia="zh-CN"/>
        </w:rPr>
        <w:t>（一）</w:t>
      </w:r>
      <w:r>
        <w:rPr>
          <w:rFonts w:hint="eastAsia" w:ascii="Times New Roman" w:hAnsi="Times New Roman" w:eastAsia="仿宋_GB2312" w:cs="仿宋_GB2312"/>
          <w:sz w:val="32"/>
          <w:szCs w:val="32"/>
          <w:lang w:val="en-US" w:eastAsia="zh-CN"/>
        </w:rPr>
        <w:t>在中华人民共和国境内接受普通高等学历教育取得普通高等学校毕业证书，包括研究生和本科、专科（高职）毕业证书。</w:t>
      </w:r>
    </w:p>
    <w:p w14:paraId="39B7D73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eastAsia="仿宋_GB2312" w:cs="仿宋_GB2312"/>
          <w:color w:val="000000"/>
          <w:kern w:val="0"/>
          <w:sz w:val="32"/>
          <w:szCs w:val="32"/>
          <w:lang w:val="en-US" w:eastAsia="zh-CN"/>
        </w:rPr>
        <w:t>（二）</w:t>
      </w:r>
      <w:r>
        <w:rPr>
          <w:rFonts w:hint="eastAsia" w:ascii="Times New Roman" w:hAnsi="Times New Roman" w:eastAsia="仿宋_GB2312" w:cs="仿宋_GB2312"/>
          <w:sz w:val="32"/>
          <w:szCs w:val="32"/>
          <w:lang w:val="en-US" w:eastAsia="zh-CN"/>
        </w:rPr>
        <w:t>离校后至申领补贴前</w:t>
      </w:r>
      <w:r>
        <w:rPr>
          <w:rFonts w:hint="eastAsia" w:eastAsia="仿宋_GB2312" w:cs="仿宋_GB2312"/>
          <w:sz w:val="32"/>
          <w:szCs w:val="32"/>
          <w:lang w:val="en-US" w:eastAsia="zh-CN"/>
        </w:rPr>
        <w:t>和</w:t>
      </w:r>
      <w:r>
        <w:rPr>
          <w:rFonts w:hint="eastAsia" w:ascii="Times New Roman" w:hAnsi="Times New Roman" w:eastAsia="仿宋_GB2312" w:cs="仿宋_GB2312"/>
          <w:sz w:val="32"/>
          <w:szCs w:val="32"/>
          <w:lang w:val="en-US" w:eastAsia="zh-CN"/>
        </w:rPr>
        <w:t>享受补贴期间</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未在用人单位就业或</w:t>
      </w:r>
      <w:r>
        <w:rPr>
          <w:rFonts w:hint="eastAsia" w:eastAsia="仿宋_GB2312"/>
          <w:color w:val="auto"/>
          <w:sz w:val="32"/>
          <w:szCs w:val="32"/>
          <w:lang w:eastAsia="zh-CN"/>
        </w:rPr>
        <w:t>担任企业法人、有雇工的个体工商户经营者。</w:t>
      </w:r>
    </w:p>
    <w:p w14:paraId="4DF2284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eastAsia="仿宋_GB2312" w:cs="仿宋_GB2312"/>
          <w:color w:val="000000"/>
          <w:kern w:val="0"/>
          <w:sz w:val="32"/>
          <w:szCs w:val="32"/>
          <w:lang w:val="en-US" w:eastAsia="zh-CN"/>
        </w:rPr>
        <w:t>（三）</w:t>
      </w:r>
      <w:r>
        <w:rPr>
          <w:rFonts w:hint="eastAsia" w:ascii="Times New Roman" w:hAnsi="Times New Roman" w:eastAsia="仿宋_GB2312" w:cs="仿宋_GB2312"/>
          <w:sz w:val="32"/>
          <w:szCs w:val="32"/>
          <w:lang w:val="en-US" w:eastAsia="zh-CN"/>
        </w:rPr>
        <w:t>首次申领补贴日期距离毕业证书发证日期不超过</w:t>
      </w:r>
      <w:r>
        <w:rPr>
          <w:rFonts w:hint="eastAsia" w:eastAsia="仿宋_GB2312" w:cs="仿宋_GB2312"/>
          <w:color w:val="000000"/>
          <w:kern w:val="0"/>
          <w:sz w:val="32"/>
          <w:szCs w:val="32"/>
          <w:lang w:val="en-US" w:eastAsia="zh-CN"/>
        </w:rPr>
        <w:t>24</w:t>
      </w:r>
      <w:r>
        <w:rPr>
          <w:rFonts w:hint="eastAsia" w:ascii="Times New Roman" w:hAnsi="Times New Roman" w:eastAsia="仿宋_GB2312" w:cs="仿宋_GB2312"/>
          <w:sz w:val="32"/>
          <w:szCs w:val="32"/>
          <w:lang w:val="en-US" w:eastAsia="zh-CN"/>
        </w:rPr>
        <w:t>个月（时间计算到月）。</w:t>
      </w:r>
    </w:p>
    <w:p w14:paraId="029B9E3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仿宋_GB2312"/>
          <w:sz w:val="32"/>
          <w:szCs w:val="32"/>
          <w:lang w:val="en" w:eastAsia="zh-CN"/>
        </w:rPr>
      </w:pPr>
      <w:r>
        <w:rPr>
          <w:rFonts w:hint="eastAsia" w:eastAsia="仿宋_GB2312" w:cs="仿宋_GB2312"/>
          <w:color w:val="000000"/>
          <w:kern w:val="0"/>
          <w:sz w:val="32"/>
          <w:szCs w:val="32"/>
          <w:lang w:val="en-US" w:eastAsia="zh-CN"/>
        </w:rPr>
        <w:t>（四）</w:t>
      </w:r>
      <w:r>
        <w:rPr>
          <w:rFonts w:hint="eastAsia" w:eastAsia="仿宋_GB2312" w:cs="仿宋_GB2312"/>
          <w:sz w:val="32"/>
          <w:szCs w:val="32"/>
          <w:lang w:val="en-US" w:eastAsia="zh-CN"/>
        </w:rPr>
        <w:t>依法</w:t>
      </w:r>
      <w:r>
        <w:rPr>
          <w:rFonts w:hint="eastAsia" w:ascii="Times New Roman" w:hAnsi="Times New Roman" w:eastAsia="仿宋_GB2312" w:cs="仿宋_GB2312"/>
          <w:sz w:val="32"/>
          <w:szCs w:val="32"/>
          <w:lang w:val="en-US" w:eastAsia="zh-CN"/>
        </w:rPr>
        <w:t>缴纳企业职工基本养老保险费、职工基本医疗保险费</w:t>
      </w:r>
      <w:r>
        <w:rPr>
          <w:rFonts w:hint="eastAsia" w:eastAsia="仿宋_GB2312" w:cs="仿宋_GB2312"/>
          <w:sz w:val="32"/>
          <w:szCs w:val="32"/>
          <w:lang w:val="en-US" w:eastAsia="zh-CN"/>
        </w:rPr>
        <w:t>（可以单独或同时缴纳）。</w:t>
      </w:r>
    </w:p>
    <w:p w14:paraId="5C16571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黑体"/>
          <w:sz w:val="32"/>
          <w:szCs w:val="32"/>
          <w:lang w:eastAsia="zh-CN"/>
        </w:rPr>
      </w:pPr>
      <w:r>
        <w:rPr>
          <w:rFonts w:hint="eastAsia" w:eastAsia="黑体"/>
          <w:sz w:val="32"/>
          <w:szCs w:val="32"/>
          <w:lang w:eastAsia="zh-CN"/>
        </w:rPr>
        <w:t>二</w:t>
      </w:r>
      <w:r>
        <w:rPr>
          <w:rFonts w:eastAsia="黑体"/>
          <w:sz w:val="32"/>
          <w:szCs w:val="32"/>
        </w:rPr>
        <w:t>、补贴</w:t>
      </w:r>
      <w:r>
        <w:rPr>
          <w:rFonts w:hint="eastAsia" w:eastAsia="黑体"/>
          <w:sz w:val="32"/>
          <w:szCs w:val="32"/>
          <w:lang w:eastAsia="zh-CN"/>
        </w:rPr>
        <w:t>标准</w:t>
      </w:r>
    </w:p>
    <w:p w14:paraId="35914F28">
      <w:pPr>
        <w:adjustRightInd w:val="0"/>
        <w:spacing w:line="560" w:lineRule="exact"/>
        <w:ind w:firstLine="640" w:firstLineChars="200"/>
        <w:rPr>
          <w:rFonts w:hint="default"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缴纳企业职工基本养老保险费</w:t>
      </w:r>
      <w:r>
        <w:rPr>
          <w:rFonts w:hint="eastAsia" w:eastAsia="仿宋_GB2312" w:cs="仿宋_GB2312"/>
          <w:color w:val="auto"/>
          <w:kern w:val="0"/>
          <w:sz w:val="32"/>
          <w:szCs w:val="32"/>
          <w:lang w:val="en-US" w:eastAsia="zh-CN"/>
        </w:rPr>
        <w:t>，每人每月补贴600元；缴纳</w:t>
      </w:r>
      <w:r>
        <w:rPr>
          <w:rFonts w:hint="eastAsia" w:ascii="Times New Roman" w:hAnsi="Times New Roman" w:eastAsia="仿宋_GB2312" w:cs="仿宋_GB2312"/>
          <w:color w:val="auto"/>
          <w:kern w:val="0"/>
          <w:sz w:val="32"/>
          <w:szCs w:val="32"/>
          <w:lang w:val="en-US" w:eastAsia="zh-CN"/>
        </w:rPr>
        <w:t>职工基本医疗保险费</w:t>
      </w:r>
      <w:r>
        <w:rPr>
          <w:rFonts w:hint="eastAsia" w:eastAsia="仿宋_GB2312" w:cs="仿宋_GB2312"/>
          <w:color w:val="auto"/>
          <w:kern w:val="0"/>
          <w:sz w:val="32"/>
          <w:szCs w:val="32"/>
          <w:lang w:val="en-US" w:eastAsia="zh-CN"/>
        </w:rPr>
        <w:t>，每人每月补贴200元。同时缴纳的，每人每月补贴800元。</w:t>
      </w:r>
    </w:p>
    <w:p w14:paraId="45847F9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楷体" w:cs="楷体"/>
          <w:color w:val="FF0000"/>
          <w:kern w:val="0"/>
          <w:sz w:val="32"/>
          <w:szCs w:val="32"/>
        </w:rPr>
      </w:pPr>
      <w:r>
        <w:rPr>
          <w:rFonts w:hint="eastAsia" w:eastAsia="仿宋_GB2312" w:cs="仿宋_GB2312"/>
          <w:color w:val="000000"/>
          <w:kern w:val="0"/>
          <w:sz w:val="32"/>
          <w:szCs w:val="32"/>
          <w:lang w:val="en-US" w:eastAsia="zh-CN"/>
        </w:rPr>
        <w:t>补贴时间自首次申请补贴当月起计算，最长2年，</w:t>
      </w:r>
      <w:r>
        <w:rPr>
          <w:rFonts w:hint="eastAsia" w:eastAsia="仿宋_GB2312" w:cs="仿宋_GB2312"/>
          <w:color w:val="000000"/>
          <w:kern w:val="0"/>
          <w:sz w:val="32"/>
          <w:szCs w:val="32"/>
          <w:lang w:eastAsia="zh-CN"/>
        </w:rPr>
        <w:t>两年</w:t>
      </w:r>
      <w:r>
        <w:rPr>
          <w:rFonts w:hint="eastAsia" w:eastAsia="仿宋_GB2312" w:cs="仿宋_GB2312"/>
          <w:color w:val="000000"/>
          <w:kern w:val="0"/>
          <w:sz w:val="32"/>
          <w:szCs w:val="32"/>
        </w:rPr>
        <w:t>间未缴纳社会保险费的月份和险种不予补贴</w:t>
      </w:r>
      <w:r>
        <w:rPr>
          <w:rFonts w:hint="eastAsia" w:eastAsia="仿宋_GB2312" w:cs="仿宋_GB2312"/>
          <w:color w:val="000000"/>
          <w:kern w:val="0"/>
          <w:sz w:val="32"/>
          <w:szCs w:val="32"/>
          <w:lang w:eastAsia="zh-CN"/>
        </w:rPr>
        <w:t>。</w:t>
      </w:r>
    </w:p>
    <w:p w14:paraId="3289473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黑体"/>
          <w:color w:val="auto"/>
          <w:sz w:val="32"/>
          <w:szCs w:val="32"/>
          <w:lang w:eastAsia="zh-CN"/>
        </w:rPr>
      </w:pPr>
      <w:r>
        <w:rPr>
          <w:rFonts w:eastAsia="黑体"/>
          <w:color w:val="auto"/>
          <w:sz w:val="32"/>
          <w:szCs w:val="32"/>
        </w:rPr>
        <w:t>三、</w:t>
      </w:r>
      <w:r>
        <w:rPr>
          <w:rFonts w:hint="eastAsia" w:eastAsia="黑体"/>
          <w:color w:val="auto"/>
          <w:sz w:val="32"/>
          <w:szCs w:val="32"/>
          <w:lang w:eastAsia="zh-CN"/>
        </w:rPr>
        <w:t>经办流程</w:t>
      </w:r>
    </w:p>
    <w:p w14:paraId="5EB9B22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社会保险补贴实行“先缴后补”。</w:t>
      </w:r>
      <w:r>
        <w:rPr>
          <w:rFonts w:hint="eastAsia" w:eastAsia="仿宋_GB2312"/>
          <w:color w:val="auto"/>
          <w:kern w:val="0"/>
          <w:sz w:val="32"/>
          <w:szCs w:val="32"/>
        </w:rPr>
        <w:t>符合条件的高校毕业生</w:t>
      </w:r>
      <w:r>
        <w:rPr>
          <w:rFonts w:hint="eastAsia" w:eastAsia="仿宋_GB2312"/>
          <w:color w:val="auto"/>
          <w:kern w:val="0"/>
          <w:sz w:val="32"/>
          <w:szCs w:val="32"/>
          <w:lang w:eastAsia="zh-CN"/>
        </w:rPr>
        <w:t>依法</w:t>
      </w:r>
      <w:r>
        <w:rPr>
          <w:rFonts w:hint="eastAsia" w:eastAsia="仿宋_GB2312"/>
          <w:color w:val="auto"/>
          <w:kern w:val="0"/>
          <w:sz w:val="32"/>
          <w:szCs w:val="32"/>
        </w:rPr>
        <w:t>缴纳社会保险费后，</w:t>
      </w:r>
      <w:r>
        <w:rPr>
          <w:rFonts w:hint="eastAsia" w:eastAsia="仿宋_GB2312"/>
          <w:color w:val="auto"/>
          <w:kern w:val="0"/>
          <w:sz w:val="32"/>
          <w:szCs w:val="32"/>
          <w:lang w:eastAsia="zh-CN"/>
        </w:rPr>
        <w:t>首次申请当月补贴，后续补贴</w:t>
      </w:r>
      <w:r>
        <w:rPr>
          <w:rFonts w:hint="eastAsia" w:eastAsia="仿宋_GB2312"/>
          <w:color w:val="auto"/>
          <w:kern w:val="0"/>
          <w:sz w:val="32"/>
          <w:szCs w:val="32"/>
        </w:rPr>
        <w:t>可按月、季、半年申领，或在当年年底前集中申领</w:t>
      </w:r>
      <w:r>
        <w:rPr>
          <w:rFonts w:hint="eastAsia" w:eastAsia="仿宋_GB2312"/>
          <w:color w:val="auto"/>
          <w:kern w:val="0"/>
          <w:sz w:val="32"/>
          <w:szCs w:val="32"/>
          <w:lang w:eastAsia="zh-CN"/>
        </w:rPr>
        <w:t>。</w:t>
      </w:r>
    </w:p>
    <w:p w14:paraId="67CB6AB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ascii="Times New Roman" w:hAnsi="Times New Roman" w:eastAsia="楷体_GB2312" w:cs="楷体_GB2312"/>
          <w:color w:val="auto"/>
          <w:kern w:val="0"/>
          <w:sz w:val="32"/>
          <w:szCs w:val="32"/>
        </w:rPr>
        <w:t>（一）申请。</w:t>
      </w:r>
      <w:r>
        <w:rPr>
          <w:rFonts w:hint="eastAsia" w:ascii="Times New Roman" w:hAnsi="Times New Roman" w:eastAsia="仿宋_GB2312" w:cs="仿宋_GB2312"/>
          <w:color w:val="auto"/>
          <w:sz w:val="32"/>
          <w:szCs w:val="32"/>
          <w:lang w:eastAsia="zh-CN"/>
        </w:rPr>
        <w:t>符合条件的</w:t>
      </w:r>
      <w:r>
        <w:rPr>
          <w:rFonts w:hint="eastAsia" w:eastAsia="仿宋_GB2312"/>
          <w:color w:val="auto"/>
          <w:kern w:val="0"/>
          <w:sz w:val="32"/>
          <w:szCs w:val="32"/>
        </w:rPr>
        <w:t>高校毕业生</w:t>
      </w:r>
      <w:r>
        <w:rPr>
          <w:rFonts w:hint="eastAsia" w:eastAsia="仿宋_GB2312"/>
          <w:color w:val="auto"/>
          <w:kern w:val="0"/>
          <w:sz w:val="32"/>
          <w:szCs w:val="32"/>
          <w:lang w:eastAsia="zh-CN"/>
        </w:rPr>
        <w:t>每月</w:t>
      </w:r>
      <w:r>
        <w:rPr>
          <w:rFonts w:hint="eastAsia" w:eastAsia="仿宋_GB2312"/>
          <w:color w:val="auto"/>
          <w:kern w:val="0"/>
          <w:sz w:val="32"/>
          <w:szCs w:val="32"/>
          <w:lang w:val="en-US" w:eastAsia="zh-CN"/>
        </w:rPr>
        <w:t>20日前</w:t>
      </w:r>
      <w:r>
        <w:rPr>
          <w:rFonts w:hint="eastAsia" w:eastAsia="仿宋_GB2312"/>
          <w:color w:val="auto"/>
          <w:kern w:val="0"/>
          <w:sz w:val="32"/>
          <w:szCs w:val="32"/>
          <w:lang w:eastAsia="zh-CN"/>
        </w:rPr>
        <w:t>向居住地所在区人社局，或登录</w:t>
      </w:r>
      <w:r>
        <w:rPr>
          <w:rFonts w:hint="eastAsia" w:eastAsia="仿宋_GB2312"/>
          <w:color w:val="auto"/>
          <w:sz w:val="32"/>
          <w:szCs w:val="32"/>
          <w:highlight w:val="none"/>
        </w:rPr>
        <w:t>天津公共就业服务网（https://job.hrss.tj.gov.cn/）</w:t>
      </w:r>
      <w:r>
        <w:rPr>
          <w:rFonts w:hint="eastAsia" w:eastAsia="仿宋_GB2312"/>
          <w:color w:val="auto"/>
          <w:sz w:val="32"/>
          <w:szCs w:val="32"/>
          <w:highlight w:val="none"/>
          <w:lang w:eastAsia="zh-CN"/>
        </w:rPr>
        <w:t>线上</w:t>
      </w:r>
      <w:r>
        <w:rPr>
          <w:rFonts w:hint="eastAsia" w:eastAsia="仿宋_GB2312"/>
          <w:color w:val="auto"/>
          <w:kern w:val="0"/>
          <w:sz w:val="32"/>
          <w:szCs w:val="32"/>
          <w:lang w:eastAsia="zh-CN"/>
        </w:rPr>
        <w:t>提出补贴申请。</w:t>
      </w:r>
      <w:r>
        <w:rPr>
          <w:rFonts w:hint="eastAsia" w:eastAsia="仿宋_GB2312"/>
          <w:color w:val="auto"/>
          <w:kern w:val="0"/>
          <w:sz w:val="32"/>
          <w:szCs w:val="32"/>
          <w:lang w:val="en-US" w:eastAsia="zh-CN"/>
        </w:rPr>
        <w:t>申请补贴时提供以下材料：</w:t>
      </w:r>
    </w:p>
    <w:p w14:paraId="42CAA0F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1．</w:t>
      </w:r>
      <w:r>
        <w:rPr>
          <w:rFonts w:hint="eastAsia" w:eastAsia="仿宋_GB2312"/>
          <w:color w:val="auto"/>
          <w:kern w:val="0"/>
          <w:sz w:val="32"/>
          <w:szCs w:val="32"/>
          <w:lang w:eastAsia="zh-CN"/>
        </w:rPr>
        <w:t>《高校毕业生灵活就业社会保险补贴申请表》（见附件）；</w:t>
      </w:r>
    </w:p>
    <w:p w14:paraId="40B9F88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2．《教育部学籍在线验证报告》（仅首月申请时提供）；</w:t>
      </w:r>
    </w:p>
    <w:p w14:paraId="199A962F">
      <w:pPr>
        <w:adjustRightInd w:val="0"/>
        <w:spacing w:line="560" w:lineRule="exact"/>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本市生源外省市院校高校毕业生需提供户口本首页及本人页复印件</w:t>
      </w:r>
      <w:r>
        <w:rPr>
          <w:rFonts w:hint="eastAsia" w:eastAsia="仿宋_GB2312"/>
          <w:color w:val="auto"/>
          <w:kern w:val="0"/>
          <w:sz w:val="32"/>
          <w:szCs w:val="32"/>
          <w:lang w:val="en-US" w:eastAsia="zh-CN"/>
        </w:rPr>
        <w:t>（仅首月申请时提供）</w:t>
      </w:r>
      <w:r>
        <w:rPr>
          <w:rFonts w:hint="eastAsia" w:ascii="Times New Roman" w:hAnsi="Times New Roman" w:eastAsia="仿宋_GB2312" w:cs="Times New Roman"/>
          <w:color w:val="auto"/>
          <w:kern w:val="0"/>
          <w:sz w:val="32"/>
          <w:szCs w:val="32"/>
          <w:lang w:val="en-US" w:eastAsia="zh-CN"/>
        </w:rPr>
        <w:t>；</w:t>
      </w:r>
    </w:p>
    <w:p w14:paraId="2E2D1F0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4．社会保险费缴费凭证。</w:t>
      </w:r>
    </w:p>
    <w:p w14:paraId="42048F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kern w:val="0"/>
          <w:sz w:val="32"/>
          <w:szCs w:val="32"/>
          <w:shd w:val="clear" w:color="auto" w:fill="auto"/>
          <w:lang w:val="en-US" w:eastAsia="zh-CN"/>
        </w:rPr>
      </w:pPr>
      <w:r>
        <w:rPr>
          <w:rFonts w:hint="eastAsia" w:ascii="Times New Roman" w:hAnsi="Times New Roman" w:eastAsia="楷体_GB2312" w:cs="楷体_GB2312"/>
          <w:color w:val="auto"/>
          <w:kern w:val="0"/>
          <w:sz w:val="32"/>
          <w:szCs w:val="32"/>
        </w:rPr>
        <w:t>（二）审核。</w:t>
      </w:r>
      <w:r>
        <w:rPr>
          <w:rFonts w:hint="eastAsia" w:eastAsia="仿宋_GB2312"/>
          <w:color w:val="auto"/>
          <w:kern w:val="0"/>
          <w:sz w:val="32"/>
          <w:szCs w:val="32"/>
          <w:lang w:eastAsia="zh-CN"/>
        </w:rPr>
        <w:t>区人社局对高校毕业生身份、就业情况、社会保险缴费情况进行核实，在</w:t>
      </w:r>
      <w:r>
        <w:rPr>
          <w:rFonts w:hint="eastAsia" w:eastAsia="仿宋_GB2312"/>
          <w:color w:val="auto"/>
          <w:kern w:val="0"/>
          <w:sz w:val="32"/>
          <w:szCs w:val="32"/>
          <w:lang w:val="en-US" w:eastAsia="zh-CN"/>
        </w:rPr>
        <w:t>3个工作日内完成审核工作。</w:t>
      </w:r>
      <w:r>
        <w:rPr>
          <w:rFonts w:hint="eastAsia" w:ascii="Times New Roman" w:hAnsi="Times New Roman" w:eastAsia="仿宋_GB2312" w:cs="仿宋_GB2312"/>
          <w:kern w:val="0"/>
          <w:sz w:val="32"/>
          <w:szCs w:val="32"/>
          <w:shd w:val="clear" w:color="auto" w:fill="auto"/>
          <w:lang w:val="en-US" w:eastAsia="zh-CN"/>
        </w:rPr>
        <w:t>对不符合条件的，应</w:t>
      </w:r>
      <w:r>
        <w:rPr>
          <w:rFonts w:hint="eastAsia" w:eastAsia="仿宋_GB2312" w:cs="仿宋_GB2312"/>
          <w:kern w:val="0"/>
          <w:sz w:val="32"/>
          <w:szCs w:val="32"/>
          <w:shd w:val="clear" w:color="auto" w:fill="auto"/>
          <w:lang w:val="en-US" w:eastAsia="zh-CN"/>
        </w:rPr>
        <w:t>当</w:t>
      </w:r>
      <w:r>
        <w:rPr>
          <w:rFonts w:hint="eastAsia" w:ascii="Times New Roman" w:hAnsi="Times New Roman" w:eastAsia="仿宋_GB2312" w:cs="仿宋_GB2312"/>
          <w:kern w:val="0"/>
          <w:sz w:val="32"/>
          <w:szCs w:val="32"/>
          <w:shd w:val="clear" w:color="auto" w:fill="auto"/>
          <w:lang w:val="en-US" w:eastAsia="zh-CN"/>
        </w:rPr>
        <w:t>及时告知申请人并说明原因。</w:t>
      </w:r>
    </w:p>
    <w:p w14:paraId="4652EE3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ascii="Times New Roman" w:hAnsi="Times New Roman" w:eastAsia="楷体_GB2312" w:cs="楷体_GB2312"/>
          <w:color w:val="auto"/>
          <w:kern w:val="0"/>
          <w:sz w:val="32"/>
          <w:szCs w:val="32"/>
          <w:lang w:val="en-US" w:eastAsia="zh-CN"/>
        </w:rPr>
        <w:t>（三）公示。</w:t>
      </w:r>
      <w:r>
        <w:rPr>
          <w:rFonts w:hint="eastAsia" w:eastAsia="仿宋_GB2312"/>
          <w:color w:val="auto"/>
          <w:kern w:val="0"/>
          <w:sz w:val="32"/>
          <w:szCs w:val="32"/>
          <w:lang w:val="en-US" w:eastAsia="zh-CN"/>
        </w:rPr>
        <w:t>对审核合格的，区人社局将申请享受补贴情况进行公示，公示时间不少于5个工作日。</w:t>
      </w:r>
    </w:p>
    <w:p w14:paraId="17B5493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kern w:val="0"/>
          <w:sz w:val="32"/>
          <w:szCs w:val="32"/>
          <w:lang w:val="en-US" w:eastAsia="zh-CN"/>
        </w:rPr>
      </w:pPr>
      <w:r>
        <w:rPr>
          <w:rFonts w:hint="eastAsia" w:ascii="Times New Roman" w:hAnsi="Times New Roman" w:eastAsia="楷体_GB2312" w:cs="楷体_GB2312"/>
          <w:color w:val="auto"/>
          <w:kern w:val="0"/>
          <w:sz w:val="32"/>
          <w:szCs w:val="32"/>
          <w:lang w:val="en-US" w:eastAsia="zh-CN"/>
        </w:rPr>
        <w:t>（四）拨付。</w:t>
      </w:r>
      <w:r>
        <w:rPr>
          <w:rFonts w:hint="eastAsia" w:eastAsia="仿宋_GB2312"/>
          <w:color w:val="auto"/>
          <w:kern w:val="0"/>
          <w:sz w:val="32"/>
          <w:szCs w:val="32"/>
          <w:lang w:val="en-US" w:eastAsia="zh-CN"/>
        </w:rPr>
        <w:t>公示无异议的，区人社局于申请补贴次月初10个工作日内，将补贴资金拨付至高校毕业生本人社会保障卡银行账户或其他银行账户。</w:t>
      </w:r>
    </w:p>
    <w:p w14:paraId="4B6189B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eastAsia="黑体"/>
          <w:color w:val="auto"/>
          <w:kern w:val="0"/>
          <w:sz w:val="32"/>
          <w:szCs w:val="32"/>
        </w:rPr>
      </w:pPr>
      <w:r>
        <w:rPr>
          <w:rFonts w:eastAsia="黑体"/>
          <w:color w:val="auto"/>
          <w:kern w:val="0"/>
          <w:sz w:val="32"/>
          <w:szCs w:val="32"/>
        </w:rPr>
        <w:t>四、</w:t>
      </w:r>
      <w:r>
        <w:rPr>
          <w:rFonts w:hint="eastAsia" w:eastAsia="黑体"/>
          <w:color w:val="auto"/>
          <w:kern w:val="0"/>
          <w:sz w:val="32"/>
          <w:szCs w:val="32"/>
          <w:lang w:eastAsia="zh-CN"/>
        </w:rPr>
        <w:t>补贴</w:t>
      </w:r>
      <w:r>
        <w:rPr>
          <w:rFonts w:eastAsia="黑体"/>
          <w:color w:val="auto"/>
          <w:kern w:val="0"/>
          <w:sz w:val="32"/>
          <w:szCs w:val="32"/>
        </w:rPr>
        <w:t>终止</w:t>
      </w:r>
    </w:p>
    <w:p w14:paraId="1EEEAE3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高校毕业生</w:t>
      </w:r>
      <w:r>
        <w:rPr>
          <w:rFonts w:eastAsia="仿宋_GB2312"/>
          <w:color w:val="auto"/>
          <w:sz w:val="32"/>
          <w:szCs w:val="32"/>
        </w:rPr>
        <w:t>有下列情形之一的，</w:t>
      </w:r>
      <w:r>
        <w:rPr>
          <w:rFonts w:hint="eastAsia" w:eastAsia="仿宋_GB2312"/>
          <w:color w:val="auto"/>
          <w:sz w:val="32"/>
          <w:szCs w:val="32"/>
          <w:lang w:eastAsia="zh-CN"/>
        </w:rPr>
        <w:t>终止</w:t>
      </w:r>
      <w:r>
        <w:rPr>
          <w:rFonts w:eastAsia="仿宋_GB2312"/>
          <w:color w:val="auto"/>
          <w:sz w:val="32"/>
          <w:szCs w:val="32"/>
        </w:rPr>
        <w:t>享受</w:t>
      </w:r>
      <w:r>
        <w:rPr>
          <w:rFonts w:hint="eastAsia" w:eastAsia="仿宋_GB2312"/>
          <w:color w:val="auto"/>
          <w:sz w:val="32"/>
          <w:szCs w:val="32"/>
          <w:lang w:eastAsia="zh-CN"/>
        </w:rPr>
        <w:t>灵活就业</w:t>
      </w:r>
      <w:r>
        <w:rPr>
          <w:rFonts w:eastAsia="仿宋_GB2312"/>
          <w:color w:val="auto"/>
          <w:sz w:val="32"/>
          <w:szCs w:val="32"/>
        </w:rPr>
        <w:t>社会保险补贴：</w:t>
      </w:r>
    </w:p>
    <w:p w14:paraId="3AC071D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sz w:val="32"/>
          <w:szCs w:val="32"/>
          <w:lang w:val="en"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一</w:t>
      </w:r>
      <w:r>
        <w:rPr>
          <w:rFonts w:hint="eastAsia" w:eastAsia="仿宋_GB2312"/>
          <w:color w:val="auto"/>
          <w:sz w:val="32"/>
          <w:szCs w:val="32"/>
          <w:lang w:eastAsia="zh-CN"/>
        </w:rPr>
        <w:t>）</w:t>
      </w:r>
      <w:r>
        <w:rPr>
          <w:rFonts w:eastAsia="仿宋_GB2312"/>
          <w:color w:val="auto"/>
          <w:sz w:val="32"/>
          <w:szCs w:val="32"/>
        </w:rPr>
        <w:t>本人提出终止灵活就业社会保险补贴</w:t>
      </w:r>
      <w:r>
        <w:rPr>
          <w:rFonts w:hint="eastAsia" w:eastAsia="仿宋_GB2312"/>
          <w:color w:val="auto"/>
          <w:sz w:val="32"/>
          <w:szCs w:val="32"/>
          <w:lang w:val="en-US" w:eastAsia="zh-CN"/>
        </w:rPr>
        <w:t>。</w:t>
      </w:r>
    </w:p>
    <w:p w14:paraId="1DF6DF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二</w:t>
      </w:r>
      <w:r>
        <w:rPr>
          <w:rFonts w:hint="eastAsia" w:eastAsia="仿宋_GB2312"/>
          <w:color w:val="auto"/>
          <w:sz w:val="32"/>
          <w:szCs w:val="32"/>
          <w:lang w:eastAsia="zh-CN"/>
        </w:rPr>
        <w:t>）在</w:t>
      </w:r>
      <w:r>
        <w:rPr>
          <w:rFonts w:eastAsia="仿宋_GB2312"/>
          <w:color w:val="auto"/>
          <w:sz w:val="32"/>
          <w:szCs w:val="32"/>
        </w:rPr>
        <w:t>用人单位</w:t>
      </w:r>
      <w:r>
        <w:rPr>
          <w:rFonts w:hint="eastAsia" w:eastAsia="仿宋_GB2312"/>
          <w:color w:val="auto"/>
          <w:sz w:val="32"/>
          <w:szCs w:val="32"/>
          <w:lang w:eastAsia="zh-CN"/>
        </w:rPr>
        <w:t>实现就业。</w:t>
      </w:r>
    </w:p>
    <w:p w14:paraId="4AFE8D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sz w:val="32"/>
          <w:szCs w:val="32"/>
          <w:lang w:eastAsia="zh-CN"/>
        </w:rPr>
      </w:pPr>
      <w:r>
        <w:rPr>
          <w:rFonts w:hint="eastAsia" w:eastAsia="仿宋_GB2312"/>
          <w:color w:val="auto"/>
          <w:sz w:val="32"/>
          <w:szCs w:val="32"/>
          <w:lang w:eastAsia="zh-CN"/>
        </w:rPr>
        <w:t>（三）担任企业法人、有雇工的个体工商户经营者。</w:t>
      </w:r>
    </w:p>
    <w:p w14:paraId="04CF0E4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（四）死亡等</w:t>
      </w:r>
      <w:r>
        <w:rPr>
          <w:rFonts w:hint="eastAsia" w:eastAsia="仿宋_GB2312"/>
          <w:color w:val="auto"/>
          <w:sz w:val="32"/>
          <w:szCs w:val="32"/>
          <w:lang w:val="en-US" w:eastAsia="zh-CN"/>
        </w:rPr>
        <w:t>其他应终止补贴的情形。</w:t>
      </w:r>
    </w:p>
    <w:p w14:paraId="39E860B3">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黑体" w:cs="Times New Roman"/>
          <w:color w:val="auto"/>
          <w:kern w:val="0"/>
          <w:sz w:val="32"/>
          <w:szCs w:val="32"/>
          <w:lang w:val="en-US" w:eastAsia="zh-CN"/>
        </w:rPr>
      </w:pPr>
      <w:r>
        <w:rPr>
          <w:rFonts w:hint="eastAsia" w:eastAsia="黑体" w:cs="Times New Roman"/>
          <w:color w:val="auto"/>
          <w:kern w:val="0"/>
          <w:sz w:val="32"/>
          <w:szCs w:val="32"/>
          <w:lang w:val="en-US" w:eastAsia="zh-CN"/>
        </w:rPr>
        <w:t>五、监督管理</w:t>
      </w:r>
    </w:p>
    <w:p w14:paraId="588C8CE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eastAsia="仿宋_GB2312"/>
          <w:color w:val="auto"/>
          <w:sz w:val="32"/>
          <w:szCs w:val="32"/>
          <w:lang w:val="en-US" w:eastAsia="zh-CN"/>
        </w:rPr>
        <w:t>（</w:t>
      </w:r>
      <w:r>
        <w:rPr>
          <w:rFonts w:hint="eastAsia" w:ascii="Times New Roman" w:eastAsia="仿宋_GB2312"/>
          <w:color w:val="auto"/>
          <w:sz w:val="32"/>
          <w:szCs w:val="32"/>
          <w:lang w:val="en-US" w:eastAsia="zh-CN"/>
        </w:rPr>
        <w:t>一</w:t>
      </w:r>
      <w:r>
        <w:rPr>
          <w:rFonts w:hint="default" w:ascii="Times New Roman" w:eastAsia="仿宋_GB2312"/>
          <w:color w:val="auto"/>
          <w:sz w:val="32"/>
          <w:szCs w:val="32"/>
          <w:lang w:val="en-US" w:eastAsia="zh-CN"/>
        </w:rPr>
        <w:t>）</w:t>
      </w:r>
      <w:r>
        <w:rPr>
          <w:rFonts w:hint="default" w:eastAsia="仿宋_GB2312"/>
          <w:color w:val="auto"/>
          <w:sz w:val="32"/>
          <w:szCs w:val="32"/>
          <w:lang w:val="en-US" w:eastAsia="zh-CN"/>
        </w:rPr>
        <w:t>市人社局负责</w:t>
      </w:r>
      <w:r>
        <w:rPr>
          <w:rFonts w:hint="eastAsia" w:eastAsia="仿宋_GB2312"/>
          <w:color w:val="auto"/>
          <w:sz w:val="32"/>
          <w:szCs w:val="32"/>
          <w:lang w:val="en-US" w:eastAsia="zh-CN"/>
        </w:rPr>
        <w:t>全市高校毕业生灵活就业</w:t>
      </w:r>
      <w:r>
        <w:rPr>
          <w:rFonts w:hint="default" w:eastAsia="仿宋_GB2312"/>
          <w:color w:val="auto"/>
          <w:sz w:val="32"/>
          <w:szCs w:val="32"/>
          <w:lang w:val="en-US" w:eastAsia="zh-CN"/>
        </w:rPr>
        <w:t>社会保险补贴政策制定</w:t>
      </w:r>
      <w:r>
        <w:rPr>
          <w:rFonts w:hint="eastAsia" w:eastAsia="仿宋_GB2312"/>
          <w:color w:val="auto"/>
          <w:sz w:val="32"/>
          <w:szCs w:val="32"/>
          <w:lang w:val="en-US" w:eastAsia="zh-CN"/>
        </w:rPr>
        <w:t>、</w:t>
      </w:r>
      <w:r>
        <w:rPr>
          <w:rFonts w:hint="default" w:eastAsia="仿宋_GB2312"/>
          <w:color w:val="auto"/>
          <w:sz w:val="32"/>
          <w:szCs w:val="32"/>
          <w:lang w:val="en-US" w:eastAsia="zh-CN"/>
        </w:rPr>
        <w:t>组织实施</w:t>
      </w:r>
      <w:r>
        <w:rPr>
          <w:rFonts w:hint="eastAsia" w:eastAsia="仿宋_GB2312"/>
          <w:color w:val="auto"/>
          <w:sz w:val="32"/>
          <w:szCs w:val="32"/>
          <w:lang w:val="en-US" w:eastAsia="zh-CN"/>
        </w:rPr>
        <w:t>和监督管理</w:t>
      </w:r>
      <w:r>
        <w:rPr>
          <w:rFonts w:hint="default" w:eastAsia="仿宋_GB2312"/>
          <w:color w:val="auto"/>
          <w:sz w:val="32"/>
          <w:szCs w:val="32"/>
          <w:lang w:val="en-US" w:eastAsia="zh-CN"/>
        </w:rPr>
        <w:t>；</w:t>
      </w:r>
      <w:r>
        <w:rPr>
          <w:rFonts w:hint="eastAsia" w:eastAsia="仿宋_GB2312"/>
          <w:color w:val="auto"/>
          <w:sz w:val="32"/>
          <w:szCs w:val="32"/>
          <w:lang w:val="en-US" w:eastAsia="zh-CN"/>
        </w:rPr>
        <w:t>市级经办机构在市人社局指导下，具体负责对各区工作的业务</w:t>
      </w:r>
      <w:r>
        <w:rPr>
          <w:rFonts w:hint="default" w:eastAsia="仿宋_GB2312"/>
          <w:color w:val="auto"/>
          <w:sz w:val="32"/>
          <w:szCs w:val="32"/>
          <w:lang w:val="en-US" w:eastAsia="zh-CN"/>
        </w:rPr>
        <w:t>指导</w:t>
      </w:r>
      <w:r>
        <w:rPr>
          <w:rFonts w:hint="eastAsia" w:eastAsia="仿宋_GB2312"/>
          <w:color w:val="auto"/>
          <w:sz w:val="32"/>
          <w:szCs w:val="32"/>
          <w:lang w:val="en-US" w:eastAsia="zh-CN"/>
        </w:rPr>
        <w:t>、经办</w:t>
      </w:r>
      <w:r>
        <w:rPr>
          <w:rFonts w:hint="default" w:eastAsia="仿宋_GB2312"/>
          <w:color w:val="auto"/>
          <w:sz w:val="32"/>
          <w:szCs w:val="32"/>
          <w:lang w:val="en-US" w:eastAsia="zh-CN"/>
        </w:rPr>
        <w:t>管理</w:t>
      </w:r>
      <w:r>
        <w:rPr>
          <w:rFonts w:hint="eastAsia" w:eastAsia="仿宋_GB2312"/>
          <w:color w:val="auto"/>
          <w:sz w:val="32"/>
          <w:szCs w:val="32"/>
          <w:lang w:val="en-US" w:eastAsia="zh-CN"/>
        </w:rPr>
        <w:t>和监督检查；</w:t>
      </w:r>
      <w:r>
        <w:rPr>
          <w:rFonts w:hint="default" w:eastAsia="仿宋_GB2312"/>
          <w:color w:val="auto"/>
          <w:sz w:val="32"/>
          <w:szCs w:val="32"/>
          <w:lang w:val="en-US" w:eastAsia="zh-CN"/>
        </w:rPr>
        <w:t>各区人社局负责</w:t>
      </w:r>
      <w:r>
        <w:rPr>
          <w:rFonts w:hint="eastAsia" w:eastAsia="仿宋_GB2312"/>
          <w:color w:val="auto"/>
          <w:sz w:val="32"/>
          <w:szCs w:val="32"/>
          <w:lang w:val="en-US" w:eastAsia="zh-CN"/>
        </w:rPr>
        <w:t>本区补贴</w:t>
      </w:r>
      <w:r>
        <w:rPr>
          <w:rFonts w:hint="default" w:eastAsia="仿宋_GB2312"/>
          <w:color w:val="auto"/>
          <w:sz w:val="32"/>
          <w:szCs w:val="32"/>
          <w:lang w:val="en-US" w:eastAsia="zh-CN"/>
        </w:rPr>
        <w:t>受理、审核、</w:t>
      </w:r>
      <w:r>
        <w:rPr>
          <w:rFonts w:hint="eastAsia" w:eastAsia="仿宋_GB2312"/>
          <w:color w:val="auto"/>
          <w:sz w:val="32"/>
          <w:szCs w:val="32"/>
          <w:lang w:val="en-US" w:eastAsia="zh-CN"/>
        </w:rPr>
        <w:t>发放</w:t>
      </w:r>
      <w:r>
        <w:rPr>
          <w:rFonts w:hint="default" w:eastAsia="仿宋_GB2312"/>
          <w:color w:val="auto"/>
          <w:sz w:val="32"/>
          <w:szCs w:val="32"/>
          <w:lang w:val="en-US" w:eastAsia="zh-CN"/>
        </w:rPr>
        <w:t>及日常监管</w:t>
      </w:r>
      <w:r>
        <w:rPr>
          <w:rFonts w:hint="eastAsia" w:eastAsia="仿宋_GB2312"/>
          <w:color w:val="auto"/>
          <w:sz w:val="32"/>
          <w:szCs w:val="32"/>
          <w:lang w:val="en-US" w:eastAsia="zh-CN"/>
        </w:rPr>
        <w:t>等</w:t>
      </w:r>
      <w:r>
        <w:rPr>
          <w:rFonts w:hint="default" w:eastAsia="仿宋_GB2312"/>
          <w:color w:val="auto"/>
          <w:sz w:val="32"/>
          <w:szCs w:val="32"/>
          <w:lang w:val="en-US" w:eastAsia="zh-CN"/>
        </w:rPr>
        <w:t>工作。</w:t>
      </w:r>
    </w:p>
    <w:p w14:paraId="3DFEEB3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（二）市、区人社局通过人社系统信息比对、电话询问、入户走访等方式，对高校毕业生身份、就业情况、社会保险缴费等情况进行核查。</w:t>
      </w:r>
    </w:p>
    <w:p w14:paraId="1F88834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（三）市级经办机构每年对全市申领补贴情况进行抽查检查，各区人社局对本区申领补贴情况定期进行核查。</w:t>
      </w:r>
    </w:p>
    <w:p w14:paraId="41DE41E7">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eastAsia="黑体" w:cs="Times New Roman"/>
          <w:color w:val="auto"/>
          <w:kern w:val="0"/>
          <w:sz w:val="32"/>
          <w:szCs w:val="32"/>
          <w:lang w:val="en-US" w:eastAsia="zh-CN"/>
        </w:rPr>
      </w:pPr>
      <w:r>
        <w:rPr>
          <w:rFonts w:hint="eastAsia" w:eastAsia="黑体" w:cs="Times New Roman"/>
          <w:color w:val="auto"/>
          <w:kern w:val="0"/>
          <w:sz w:val="32"/>
          <w:szCs w:val="32"/>
          <w:lang w:val="en-US" w:eastAsia="zh-CN"/>
        </w:rPr>
        <w:t>六、工作要求</w:t>
      </w:r>
    </w:p>
    <w:p w14:paraId="39A65ED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000000"/>
          <w:sz w:val="32"/>
          <w:szCs w:val="32"/>
          <w:lang w:eastAsia="zh-CN"/>
        </w:rPr>
      </w:pPr>
      <w:r>
        <w:rPr>
          <w:rFonts w:hint="eastAsia" w:ascii="Times New Roman" w:hAnsi="Times New Roman" w:eastAsia="楷体_GB2312" w:cs="楷体_GB2312"/>
          <w:color w:val="000000"/>
          <w:sz w:val="32"/>
          <w:szCs w:val="32"/>
        </w:rPr>
        <w:t>（一）</w:t>
      </w:r>
      <w:r>
        <w:rPr>
          <w:rFonts w:hint="eastAsia" w:ascii="Times New Roman" w:hAnsi="Times New Roman" w:eastAsia="楷体_GB2312" w:cs="楷体_GB2312"/>
          <w:color w:val="000000"/>
          <w:sz w:val="32"/>
          <w:szCs w:val="32"/>
          <w:lang w:eastAsia="zh-CN"/>
        </w:rPr>
        <w:t>提高认识。</w:t>
      </w:r>
      <w:r>
        <w:rPr>
          <w:rFonts w:hint="eastAsia" w:eastAsia="仿宋_GB2312"/>
          <w:color w:val="auto"/>
          <w:sz w:val="32"/>
          <w:szCs w:val="32"/>
          <w:lang w:val="en-US" w:eastAsia="zh-CN"/>
        </w:rPr>
        <w:t>高校毕业生灵活就业</w:t>
      </w:r>
      <w:r>
        <w:rPr>
          <w:rFonts w:hint="default" w:eastAsia="仿宋_GB2312"/>
          <w:color w:val="auto"/>
          <w:sz w:val="32"/>
          <w:szCs w:val="32"/>
          <w:lang w:val="en-US" w:eastAsia="zh-CN"/>
        </w:rPr>
        <w:t>社会保险补贴</w:t>
      </w:r>
      <w:r>
        <w:rPr>
          <w:rFonts w:hint="eastAsia" w:eastAsia="仿宋_GB2312"/>
          <w:color w:val="auto"/>
          <w:sz w:val="32"/>
          <w:szCs w:val="32"/>
          <w:lang w:val="en-US" w:eastAsia="zh-CN"/>
        </w:rPr>
        <w:t>政策</w:t>
      </w:r>
      <w:r>
        <w:rPr>
          <w:rFonts w:hint="eastAsia" w:ascii="Times New Roman" w:hAnsi="Times New Roman" w:eastAsia="仿宋_GB2312" w:cs="Times New Roman"/>
          <w:color w:val="000000"/>
          <w:sz w:val="32"/>
          <w:szCs w:val="32"/>
          <w:lang w:eastAsia="zh-CN"/>
        </w:rPr>
        <w:t>是鼓励和支持高校毕业生多渠道灵活就业的重要举措，</w:t>
      </w:r>
      <w:r>
        <w:rPr>
          <w:rFonts w:hint="eastAsia" w:eastAsia="仿宋_GB2312"/>
          <w:color w:val="000000"/>
          <w:sz w:val="32"/>
          <w:szCs w:val="32"/>
          <w:lang w:eastAsia="zh-CN"/>
        </w:rPr>
        <w:t>各单位要高度重视，密切协调配合，提高工作效率，确保政策尽快落地见效。</w:t>
      </w:r>
    </w:p>
    <w:p w14:paraId="2C39B4F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（二）</w:t>
      </w:r>
      <w:r>
        <w:rPr>
          <w:rFonts w:hint="eastAsia" w:eastAsia="楷体_GB2312" w:cs="楷体_GB2312"/>
          <w:color w:val="000000"/>
          <w:sz w:val="32"/>
          <w:szCs w:val="32"/>
          <w:lang w:eastAsia="zh-CN"/>
        </w:rPr>
        <w:t>加强</w:t>
      </w:r>
      <w:r>
        <w:rPr>
          <w:rFonts w:hint="eastAsia" w:ascii="Times New Roman" w:hAnsi="Times New Roman" w:eastAsia="楷体_GB2312" w:cs="楷体_GB2312"/>
          <w:color w:val="000000"/>
          <w:sz w:val="32"/>
          <w:szCs w:val="32"/>
          <w:lang w:eastAsia="zh-CN"/>
        </w:rPr>
        <w:t>宣传。</w:t>
      </w:r>
      <w:r>
        <w:rPr>
          <w:rFonts w:hint="eastAsia" w:eastAsia="仿宋_GB2312"/>
          <w:color w:val="000000"/>
          <w:sz w:val="32"/>
          <w:szCs w:val="32"/>
          <w:lang w:eastAsia="zh-CN"/>
        </w:rPr>
        <w:t>各区人社局</w:t>
      </w:r>
      <w:r>
        <w:rPr>
          <w:rFonts w:hint="eastAsia" w:ascii="Times New Roman" w:hAnsi="Times New Roman" w:eastAsia="仿宋_GB2312" w:cs="Times New Roman"/>
          <w:color w:val="000000"/>
          <w:sz w:val="32"/>
          <w:szCs w:val="32"/>
          <w:lang w:eastAsia="zh-CN"/>
        </w:rPr>
        <w:t>要依托各级公共就业服务力量，采取专题宣讲、发放政策明白纸、上门服务等方式，</w:t>
      </w:r>
      <w:r>
        <w:rPr>
          <w:rFonts w:hint="eastAsia" w:eastAsia="仿宋_GB2312" w:cs="Times New Roman"/>
          <w:color w:val="000000"/>
          <w:sz w:val="32"/>
          <w:szCs w:val="32"/>
          <w:lang w:eastAsia="zh-CN"/>
        </w:rPr>
        <w:t>多渠道</w:t>
      </w:r>
      <w:r>
        <w:rPr>
          <w:rFonts w:hint="eastAsia" w:ascii="Times New Roman" w:hAnsi="Times New Roman" w:eastAsia="仿宋_GB2312" w:cs="Times New Roman"/>
          <w:color w:val="000000"/>
          <w:sz w:val="32"/>
          <w:szCs w:val="32"/>
          <w:lang w:eastAsia="zh-CN"/>
        </w:rPr>
        <w:t>广泛宣传解读政策内容，提高政策知晓度。</w:t>
      </w:r>
    </w:p>
    <w:p w14:paraId="42FEB65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（三）</w:t>
      </w:r>
      <w:r>
        <w:rPr>
          <w:rFonts w:hint="eastAsia" w:eastAsia="楷体_GB2312" w:cs="楷体_GB2312"/>
          <w:color w:val="000000"/>
          <w:sz w:val="32"/>
          <w:szCs w:val="32"/>
          <w:lang w:eastAsia="zh-CN"/>
        </w:rPr>
        <w:t>优化</w:t>
      </w:r>
      <w:r>
        <w:rPr>
          <w:rFonts w:hint="eastAsia" w:ascii="Times New Roman" w:hAnsi="Times New Roman" w:eastAsia="楷体_GB2312" w:cs="楷体_GB2312"/>
          <w:color w:val="000000"/>
          <w:sz w:val="32"/>
          <w:szCs w:val="32"/>
          <w:lang w:eastAsia="zh-CN"/>
        </w:rPr>
        <w:t>服务。</w:t>
      </w:r>
      <w:r>
        <w:rPr>
          <w:rFonts w:hint="eastAsia" w:eastAsia="仿宋_GB2312"/>
          <w:color w:val="000000"/>
          <w:sz w:val="32"/>
          <w:szCs w:val="32"/>
          <w:lang w:eastAsia="zh-CN"/>
        </w:rPr>
        <w:t>各区人社局</w:t>
      </w:r>
      <w:r>
        <w:rPr>
          <w:rFonts w:hint="eastAsia" w:ascii="Times New Roman" w:hAnsi="Times New Roman" w:eastAsia="仿宋_GB2312" w:cs="Times New Roman"/>
          <w:color w:val="000000"/>
          <w:sz w:val="32"/>
          <w:szCs w:val="32"/>
          <w:lang w:eastAsia="zh-CN"/>
        </w:rPr>
        <w:t>要规范经办流程，</w:t>
      </w:r>
      <w:r>
        <w:rPr>
          <w:rFonts w:hint="eastAsia" w:eastAsia="仿宋_GB2312" w:cs="Times New Roman"/>
          <w:color w:val="000000"/>
          <w:sz w:val="32"/>
          <w:szCs w:val="32"/>
          <w:lang w:eastAsia="zh-CN"/>
        </w:rPr>
        <w:t>充分利用信息化手段，</w:t>
      </w:r>
      <w:r>
        <w:rPr>
          <w:rFonts w:hint="eastAsia" w:ascii="Times New Roman" w:hAnsi="Times New Roman" w:eastAsia="仿宋_GB2312" w:cs="Times New Roman"/>
          <w:color w:val="000000"/>
          <w:sz w:val="32"/>
          <w:szCs w:val="32"/>
          <w:lang w:eastAsia="zh-CN"/>
        </w:rPr>
        <w:t>提高经办水平。对能通过信息系统核实的信息，不得要求个人提供证明材料。</w:t>
      </w:r>
    </w:p>
    <w:p w14:paraId="4BBC7CF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auto"/>
          <w:sz w:val="32"/>
          <w:szCs w:val="32"/>
          <w:lang w:val="en-US" w:eastAsia="zh-CN"/>
        </w:rPr>
      </w:pPr>
      <w:r>
        <w:rPr>
          <w:rFonts w:hint="eastAsia" w:eastAsia="楷体_GB2312" w:cs="楷体_GB2312"/>
          <w:color w:val="000000"/>
          <w:sz w:val="32"/>
          <w:szCs w:val="32"/>
          <w:lang w:val="en-US" w:eastAsia="zh-CN"/>
        </w:rPr>
        <w:t>（四）保障资金。</w:t>
      </w:r>
      <w:r>
        <w:rPr>
          <w:rFonts w:hint="eastAsia" w:ascii="Times New Roman" w:eastAsia="仿宋_GB2312"/>
          <w:color w:val="auto"/>
          <w:sz w:val="32"/>
          <w:szCs w:val="32"/>
          <w:lang w:val="en-US" w:eastAsia="zh-CN"/>
        </w:rPr>
        <w:t>高校毕业生灵活就业社会保险补贴所需资金由就业补助资金列支，在市人社局、市财政局分配对区转移支付资金时，作为分配因素统筹安排。各区人社局、财政局负责做好资金具体保障管理工作</w:t>
      </w:r>
      <w:r>
        <w:rPr>
          <w:rFonts w:hint="eastAsia" w:eastAsia="仿宋_GB2312"/>
          <w:color w:val="auto"/>
          <w:sz w:val="32"/>
          <w:szCs w:val="32"/>
          <w:lang w:val="en-US" w:eastAsia="zh-CN"/>
        </w:rPr>
        <w:t>。</w:t>
      </w:r>
    </w:p>
    <w:p w14:paraId="3EDEF50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olor w:val="000000"/>
          <w:sz w:val="32"/>
          <w:szCs w:val="32"/>
          <w:lang w:eastAsia="zh-CN"/>
        </w:rPr>
      </w:pPr>
      <w:r>
        <w:rPr>
          <w:rFonts w:hint="eastAsia" w:ascii="Times New Roman" w:hAnsi="Times New Roman" w:eastAsia="楷体_GB2312" w:cs="楷体_GB2312"/>
          <w:color w:val="000000"/>
          <w:sz w:val="32"/>
          <w:szCs w:val="32"/>
          <w:lang w:eastAsia="zh-CN"/>
        </w:rPr>
        <w:t>（</w:t>
      </w:r>
      <w:r>
        <w:rPr>
          <w:rFonts w:hint="eastAsia" w:eastAsia="楷体_GB2312" w:cs="楷体_GB2312"/>
          <w:color w:val="000000"/>
          <w:sz w:val="32"/>
          <w:szCs w:val="32"/>
          <w:lang w:eastAsia="zh-CN"/>
        </w:rPr>
        <w:t>五</w:t>
      </w:r>
      <w:r>
        <w:rPr>
          <w:rFonts w:hint="eastAsia" w:ascii="Times New Roman" w:hAnsi="Times New Roman" w:eastAsia="楷体_GB2312" w:cs="楷体_GB2312"/>
          <w:color w:val="000000"/>
          <w:sz w:val="32"/>
          <w:szCs w:val="32"/>
          <w:lang w:eastAsia="zh-CN"/>
        </w:rPr>
        <w:t>）</w:t>
      </w:r>
      <w:r>
        <w:rPr>
          <w:rFonts w:hint="eastAsia" w:eastAsia="楷体_GB2312" w:cs="楷体_GB2312"/>
          <w:color w:val="000000"/>
          <w:sz w:val="32"/>
          <w:szCs w:val="32"/>
          <w:lang w:eastAsia="zh-CN"/>
        </w:rPr>
        <w:t>强化</w:t>
      </w:r>
      <w:r>
        <w:rPr>
          <w:rFonts w:hint="eastAsia" w:ascii="Times New Roman" w:hAnsi="Times New Roman" w:eastAsia="楷体_GB2312" w:cs="楷体_GB2312"/>
          <w:color w:val="000000"/>
          <w:sz w:val="32"/>
          <w:szCs w:val="32"/>
          <w:lang w:eastAsia="zh-CN"/>
        </w:rPr>
        <w:t>监管。</w:t>
      </w:r>
      <w:r>
        <w:rPr>
          <w:rFonts w:hint="eastAsia" w:eastAsia="仿宋_GB2312"/>
          <w:color w:val="000000"/>
          <w:sz w:val="32"/>
          <w:szCs w:val="32"/>
          <w:lang w:eastAsia="zh-CN"/>
        </w:rPr>
        <w:t>各区人社局</w:t>
      </w:r>
      <w:r>
        <w:rPr>
          <w:rFonts w:hint="eastAsia" w:ascii="Times New Roman" w:hAnsi="Times New Roman" w:eastAsia="仿宋_GB2312" w:cs="Times New Roman"/>
          <w:sz w:val="32"/>
          <w:szCs w:val="32"/>
          <w:lang w:eastAsia="zh-CN"/>
        </w:rPr>
        <w:t>要落实经办管理责任，</w:t>
      </w:r>
      <w:r>
        <w:rPr>
          <w:rFonts w:hint="eastAsia" w:eastAsia="仿宋_GB2312"/>
          <w:color w:val="000000"/>
          <w:sz w:val="32"/>
          <w:szCs w:val="32"/>
          <w:lang w:eastAsia="zh-CN"/>
        </w:rPr>
        <w:t>坚决</w:t>
      </w:r>
      <w:r>
        <w:rPr>
          <w:rFonts w:hint="eastAsia" w:eastAsia="仿宋_GB2312"/>
          <w:color w:val="000000"/>
          <w:sz w:val="32"/>
          <w:szCs w:val="32"/>
        </w:rPr>
        <w:t>杜绝弄虚作假、虚报冒领</w:t>
      </w:r>
      <w:r>
        <w:rPr>
          <w:rFonts w:eastAsia="仿宋_GB2312"/>
          <w:color w:val="000000"/>
          <w:sz w:val="32"/>
          <w:szCs w:val="32"/>
        </w:rPr>
        <w:t>。</w:t>
      </w:r>
      <w:r>
        <w:rPr>
          <w:rFonts w:hint="eastAsia" w:eastAsia="仿宋_GB2312"/>
          <w:color w:val="000000"/>
          <w:sz w:val="32"/>
          <w:szCs w:val="32"/>
          <w:lang w:eastAsia="zh-CN"/>
        </w:rPr>
        <w:t>对提供虚假材料、骗取套取补贴等问题，按规定及时追回补贴资金。涉嫌犯罪的，及时移送相关部门处理。</w:t>
      </w:r>
    </w:p>
    <w:p w14:paraId="42905EB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本通知自202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lang w:val="en-US" w:eastAsia="zh-CN"/>
        </w:rPr>
        <w:t>1</w:t>
      </w:r>
      <w:r>
        <w:rPr>
          <w:rFonts w:eastAsia="仿宋_GB2312"/>
          <w:color w:val="auto"/>
          <w:sz w:val="32"/>
          <w:szCs w:val="32"/>
        </w:rPr>
        <w:t>月</w:t>
      </w:r>
      <w:r>
        <w:rPr>
          <w:rFonts w:hint="eastAsia" w:eastAsia="仿宋_GB2312"/>
          <w:color w:val="auto"/>
          <w:sz w:val="32"/>
          <w:szCs w:val="32"/>
          <w:lang w:val="en-US" w:eastAsia="zh-CN"/>
        </w:rPr>
        <w:t>1</w:t>
      </w:r>
      <w:r>
        <w:rPr>
          <w:rFonts w:eastAsia="仿宋_GB2312"/>
          <w:color w:val="auto"/>
          <w:sz w:val="32"/>
          <w:szCs w:val="32"/>
        </w:rPr>
        <w:t>日起施行，</w:t>
      </w:r>
      <w:r>
        <w:rPr>
          <w:rFonts w:hint="eastAsia" w:eastAsia="仿宋_GB2312"/>
          <w:color w:val="auto"/>
          <w:sz w:val="32"/>
          <w:szCs w:val="32"/>
          <w:lang w:eastAsia="zh-CN"/>
        </w:rPr>
        <w:t>有效期</w:t>
      </w:r>
      <w:r>
        <w:rPr>
          <w:rFonts w:eastAsia="仿宋_GB2312"/>
          <w:color w:val="auto"/>
          <w:sz w:val="32"/>
          <w:szCs w:val="32"/>
        </w:rPr>
        <w:t>至20</w:t>
      </w:r>
      <w:r>
        <w:rPr>
          <w:rFonts w:hint="eastAsia" w:eastAsia="仿宋_GB2312"/>
          <w:color w:val="auto"/>
          <w:sz w:val="32"/>
          <w:szCs w:val="32"/>
          <w:lang w:val="en-US" w:eastAsia="zh-CN"/>
        </w:rPr>
        <w:t>27</w:t>
      </w:r>
      <w:r>
        <w:rPr>
          <w:rFonts w:eastAsia="仿宋_GB2312"/>
          <w:color w:val="auto"/>
          <w:sz w:val="32"/>
          <w:szCs w:val="32"/>
        </w:rPr>
        <w:t>年</w:t>
      </w:r>
      <w:r>
        <w:rPr>
          <w:rFonts w:hint="eastAsia" w:eastAsia="仿宋_GB2312"/>
          <w:color w:val="auto"/>
          <w:sz w:val="32"/>
          <w:szCs w:val="32"/>
          <w:lang w:val="en-US" w:eastAsia="zh-CN"/>
        </w:rPr>
        <w:t>12</w:t>
      </w:r>
      <w:r>
        <w:rPr>
          <w:rFonts w:eastAsia="仿宋_GB2312"/>
          <w:color w:val="auto"/>
          <w:sz w:val="32"/>
          <w:szCs w:val="32"/>
        </w:rPr>
        <w:t>月</w:t>
      </w:r>
      <w:r>
        <w:rPr>
          <w:rFonts w:hint="eastAsia" w:eastAsia="仿宋_GB2312"/>
          <w:color w:val="auto"/>
          <w:sz w:val="32"/>
          <w:szCs w:val="32"/>
          <w:lang w:val="en-US" w:eastAsia="zh-CN"/>
        </w:rPr>
        <w:t>31</w:t>
      </w:r>
      <w:r>
        <w:rPr>
          <w:rFonts w:eastAsia="仿宋_GB2312"/>
          <w:color w:val="auto"/>
          <w:sz w:val="32"/>
          <w:szCs w:val="32"/>
        </w:rPr>
        <w:t>日。</w:t>
      </w:r>
      <w:r>
        <w:rPr>
          <w:rFonts w:hint="eastAsia" w:eastAsia="仿宋_GB2312"/>
          <w:color w:val="auto"/>
          <w:sz w:val="32"/>
          <w:szCs w:val="32"/>
          <w:lang w:eastAsia="zh-CN"/>
        </w:rPr>
        <w:t>本通知实施前，正在</w:t>
      </w:r>
      <w:r>
        <w:rPr>
          <w:rFonts w:eastAsia="仿宋_GB2312"/>
          <w:color w:val="auto"/>
          <w:sz w:val="32"/>
          <w:szCs w:val="32"/>
        </w:rPr>
        <w:t>享受</w:t>
      </w:r>
      <w:r>
        <w:rPr>
          <w:rFonts w:hint="eastAsia" w:eastAsia="仿宋_GB2312"/>
          <w:color w:val="auto"/>
          <w:sz w:val="32"/>
          <w:szCs w:val="32"/>
          <w:lang w:eastAsia="zh-CN"/>
        </w:rPr>
        <w:t>灵活就业社会保险</w:t>
      </w:r>
      <w:r>
        <w:rPr>
          <w:rFonts w:eastAsia="仿宋_GB2312"/>
          <w:color w:val="auto"/>
          <w:sz w:val="32"/>
          <w:szCs w:val="32"/>
        </w:rPr>
        <w:t>补贴的</w:t>
      </w:r>
      <w:r>
        <w:rPr>
          <w:rFonts w:hint="eastAsia" w:eastAsia="仿宋_GB2312"/>
          <w:color w:val="auto"/>
          <w:sz w:val="32"/>
          <w:szCs w:val="32"/>
          <w:lang w:eastAsia="zh-CN"/>
        </w:rPr>
        <w:t>高校毕业生</w:t>
      </w:r>
      <w:r>
        <w:rPr>
          <w:rFonts w:eastAsia="仿宋_GB2312"/>
          <w:color w:val="auto"/>
          <w:sz w:val="32"/>
          <w:szCs w:val="32"/>
        </w:rPr>
        <w:t>，</w:t>
      </w:r>
      <w:r>
        <w:rPr>
          <w:rFonts w:hint="eastAsia" w:eastAsia="仿宋_GB2312"/>
          <w:color w:val="auto"/>
          <w:sz w:val="32"/>
          <w:szCs w:val="32"/>
          <w:lang w:eastAsia="zh-CN"/>
        </w:rPr>
        <w:t>本通知实施后的补贴按新规定</w:t>
      </w:r>
      <w:r>
        <w:rPr>
          <w:rFonts w:eastAsia="仿宋_GB2312"/>
          <w:color w:val="auto"/>
          <w:sz w:val="32"/>
          <w:szCs w:val="32"/>
        </w:rPr>
        <w:t>继续</w:t>
      </w:r>
      <w:r>
        <w:rPr>
          <w:rFonts w:eastAsia="仿宋_GB2312"/>
          <w:color w:val="auto"/>
          <w:sz w:val="32"/>
          <w:szCs w:val="32"/>
          <w:highlight w:val="none"/>
        </w:rPr>
        <w:t>享受至</w:t>
      </w:r>
      <w:r>
        <w:rPr>
          <w:rFonts w:hint="eastAsia" w:eastAsia="仿宋_GB2312"/>
          <w:color w:val="auto"/>
          <w:sz w:val="32"/>
          <w:szCs w:val="32"/>
          <w:highlight w:val="none"/>
          <w:lang w:val="en-US" w:eastAsia="zh-CN"/>
        </w:rPr>
        <w:t>2年</w:t>
      </w:r>
      <w:r>
        <w:rPr>
          <w:rFonts w:eastAsia="仿宋_GB2312"/>
          <w:color w:val="auto"/>
          <w:sz w:val="32"/>
          <w:szCs w:val="32"/>
        </w:rPr>
        <w:t>期满。</w:t>
      </w:r>
    </w:p>
    <w:p w14:paraId="49AC9540">
      <w:pPr>
        <w:pStyle w:val="4"/>
        <w:spacing w:line="560" w:lineRule="exact"/>
        <w:jc w:val="both"/>
        <w:rPr>
          <w:sz w:val="32"/>
          <w:szCs w:val="32"/>
        </w:rPr>
      </w:pPr>
    </w:p>
    <w:p w14:paraId="17ABBA4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附件：高校毕业生灵活就业社会保险补贴申请表</w:t>
      </w:r>
    </w:p>
    <w:p w14:paraId="4B6E50E9">
      <w:pPr>
        <w:keepNext w:val="0"/>
        <w:keepLines w:val="0"/>
        <w:pageBreakBefore w:val="0"/>
        <w:widowControl w:val="0"/>
        <w:kinsoku/>
        <w:wordWrap/>
        <w:overflowPunct/>
        <w:topLinePunct w:val="0"/>
        <w:autoSpaceDE/>
        <w:autoSpaceDN/>
        <w:bidi w:val="0"/>
        <w:adjustRightInd w:val="0"/>
        <w:snapToGrid/>
        <w:spacing w:line="600" w:lineRule="exact"/>
        <w:textAlignment w:val="auto"/>
        <w:rPr>
          <w:rFonts w:eastAsia="仿宋_GB2312"/>
          <w:color w:val="auto"/>
          <w:sz w:val="32"/>
          <w:szCs w:val="32"/>
        </w:rPr>
      </w:pPr>
    </w:p>
    <w:p w14:paraId="26A324CE">
      <w:pPr>
        <w:keepNext w:val="0"/>
        <w:keepLines w:val="0"/>
        <w:pageBreakBefore w:val="0"/>
        <w:widowControl w:val="0"/>
        <w:kinsoku/>
        <w:wordWrap/>
        <w:overflowPunct/>
        <w:topLinePunct w:val="0"/>
        <w:autoSpaceDE/>
        <w:autoSpaceDN/>
        <w:bidi w:val="0"/>
        <w:adjustRightInd w:val="0"/>
        <w:snapToGrid/>
        <w:spacing w:line="600" w:lineRule="exact"/>
        <w:textAlignment w:val="auto"/>
        <w:rPr>
          <w:rFonts w:eastAsia="仿宋_GB2312"/>
          <w:color w:val="auto"/>
          <w:sz w:val="32"/>
          <w:szCs w:val="32"/>
        </w:rPr>
      </w:pPr>
    </w:p>
    <w:p w14:paraId="7B3BD4B8">
      <w:pPr>
        <w:keepNext w:val="0"/>
        <w:keepLines w:val="0"/>
        <w:pageBreakBefore w:val="0"/>
        <w:widowControl w:val="0"/>
        <w:kinsoku/>
        <w:wordWrap/>
        <w:overflowPunct/>
        <w:topLinePunct w:val="0"/>
        <w:autoSpaceDE/>
        <w:autoSpaceDN/>
        <w:bidi w:val="0"/>
        <w:adjustRightInd w:val="0"/>
        <w:snapToGrid/>
        <w:spacing w:line="600" w:lineRule="exact"/>
        <w:textAlignment w:val="auto"/>
        <w:rPr>
          <w:rFonts w:eastAsia="仿宋_GB2312"/>
          <w:color w:val="auto"/>
          <w:sz w:val="32"/>
          <w:szCs w:val="32"/>
        </w:rPr>
      </w:pPr>
    </w:p>
    <w:p w14:paraId="565553F7">
      <w:pPr>
        <w:pStyle w:val="5"/>
        <w:spacing w:line="600" w:lineRule="exact"/>
        <w:jc w:val="both"/>
        <w:rPr>
          <w:rFonts w:hint="eastAsia" w:ascii="Times New Roman" w:hAnsi="Times New Roman" w:eastAsia="仿宋_GB2312" w:cs="仿宋_GB2312"/>
          <w:sz w:val="32"/>
          <w:szCs w:val="32"/>
          <w:lang w:val="en-US" w:eastAsia="zh-CN"/>
        </w:rPr>
      </w:pPr>
      <w:r>
        <w:rPr>
          <w:rFonts w:hint="eastAsia" w:eastAsia="仿宋_GB2312" w:cs="仿宋_GB2312"/>
          <w:sz w:val="32"/>
          <w:szCs w:val="32"/>
          <w:lang w:val="en-US" w:eastAsia="zh-CN"/>
        </w:rPr>
        <w:t xml:space="preserve">          市人社局                 市财政局</w:t>
      </w:r>
      <w:r>
        <w:rPr>
          <w:rFonts w:hint="eastAsia" w:ascii="Times New Roman" w:hAnsi="Times New Roman" w:eastAsia="仿宋_GB2312" w:cs="仿宋_GB2312"/>
          <w:sz w:val="32"/>
          <w:szCs w:val="32"/>
          <w:lang w:val="en-US" w:eastAsia="zh-CN"/>
        </w:rPr>
        <w:t xml:space="preserve">                   </w:t>
      </w:r>
    </w:p>
    <w:p w14:paraId="54CC4C43">
      <w:pPr>
        <w:pStyle w:val="5"/>
        <w:spacing w:line="600" w:lineRule="exact"/>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202</w:t>
      </w:r>
      <w:r>
        <w:rPr>
          <w:rFonts w:hint="eastAsia" w:eastAsia="仿宋_GB2312" w:cs="仿宋_GB2312"/>
          <w:sz w:val="32"/>
          <w:szCs w:val="32"/>
          <w:lang w:val="en-US" w:eastAsia="zh-CN"/>
        </w:rPr>
        <w:t>4</w:t>
      </w:r>
      <w:r>
        <w:rPr>
          <w:rFonts w:hint="eastAsia" w:ascii="Times New Roman" w:hAnsi="Times New Roman" w:eastAsia="仿宋_GB2312" w:cs="仿宋_GB2312"/>
          <w:sz w:val="32"/>
          <w:szCs w:val="32"/>
          <w:lang w:val="en-US" w:eastAsia="zh-CN"/>
        </w:rPr>
        <w:t>年12月</w:t>
      </w:r>
      <w:r>
        <w:rPr>
          <w:rFonts w:hint="eastAsia" w:eastAsia="仿宋_GB2312" w:cs="仿宋_GB2312"/>
          <w:sz w:val="32"/>
          <w:szCs w:val="32"/>
          <w:lang w:val="en-US" w:eastAsia="zh-CN"/>
        </w:rPr>
        <w:t>20</w:t>
      </w:r>
      <w:r>
        <w:rPr>
          <w:rFonts w:hint="eastAsia" w:ascii="Times New Roman" w:hAnsi="Times New Roman" w:eastAsia="仿宋_GB2312" w:cs="仿宋_GB2312"/>
          <w:sz w:val="32"/>
          <w:szCs w:val="32"/>
          <w:lang w:val="en-US" w:eastAsia="zh-CN"/>
        </w:rPr>
        <w:t>日</w:t>
      </w:r>
    </w:p>
    <w:p w14:paraId="3CCDA3F4">
      <w:pPr>
        <w:pStyle w:val="5"/>
        <w:spacing w:line="600" w:lineRule="exact"/>
        <w:jc w:val="both"/>
        <w:rPr>
          <w:rFonts w:hint="default" w:ascii="Times New Roman" w:hAnsi="Times New Roman" w:eastAsia="仿宋_GB2312" w:cs="仿宋_GB2312"/>
          <w:sz w:val="32"/>
          <w:szCs w:val="32"/>
          <w:lang w:val="en-US" w:eastAsia="zh-CN"/>
        </w:rPr>
      </w:pPr>
      <w:r>
        <w:rPr>
          <w:rFonts w:hint="eastAsia" w:eastAsia="仿宋_GB2312" w:cs="仿宋_GB2312"/>
          <w:sz w:val="32"/>
          <w:szCs w:val="32"/>
          <w:lang w:val="en-US" w:eastAsia="zh-CN"/>
        </w:rPr>
        <w:t xml:space="preserve">    （此件主动公开）</w:t>
      </w:r>
    </w:p>
    <w:p w14:paraId="73ED32E7">
      <w:pPr>
        <w:pStyle w:val="5"/>
        <w:spacing w:line="600" w:lineRule="exact"/>
        <w:jc w:val="both"/>
        <w:rPr>
          <w:rFonts w:hint="eastAsia" w:ascii="Times New Roman" w:hAnsi="Times New Roman" w:eastAsia="仿宋_GB2312" w:cs="仿宋_GB2312"/>
          <w:sz w:val="32"/>
          <w:szCs w:val="32"/>
          <w:lang w:val="en-US" w:eastAsia="zh-CN"/>
        </w:rPr>
      </w:pPr>
    </w:p>
    <w:p w14:paraId="4DEC9E28">
      <w:pPr>
        <w:pStyle w:val="3"/>
        <w:spacing w:line="600" w:lineRule="exact"/>
      </w:pPr>
    </w:p>
    <w:p w14:paraId="2282F8AA">
      <w:pPr>
        <w:spacing w:line="600" w:lineRule="exact"/>
      </w:pPr>
    </w:p>
    <w:p w14:paraId="5DAAA46E">
      <w:pPr>
        <w:widowControl/>
        <w:spacing w:line="240" w:lineRule="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br w:type="page"/>
      </w:r>
    </w:p>
    <w:p w14:paraId="4C264826">
      <w:pPr>
        <w:widowControl/>
        <w:spacing w:line="560" w:lineRule="exact"/>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lang w:val="en-US" w:eastAsia="zh-CN"/>
        </w:rPr>
        <w:t>附件</w:t>
      </w:r>
    </w:p>
    <w:tbl>
      <w:tblPr>
        <w:tblStyle w:val="9"/>
        <w:tblW w:w="8960" w:type="dxa"/>
        <w:jc w:val="center"/>
        <w:tblLayout w:type="fixed"/>
        <w:tblCellMar>
          <w:top w:w="0" w:type="dxa"/>
          <w:left w:w="108" w:type="dxa"/>
          <w:bottom w:w="0" w:type="dxa"/>
          <w:right w:w="108" w:type="dxa"/>
        </w:tblCellMar>
      </w:tblPr>
      <w:tblGrid>
        <w:gridCol w:w="1321"/>
        <w:gridCol w:w="1287"/>
        <w:gridCol w:w="1436"/>
        <w:gridCol w:w="651"/>
        <w:gridCol w:w="445"/>
        <w:gridCol w:w="93"/>
        <w:gridCol w:w="912"/>
        <w:gridCol w:w="331"/>
        <w:gridCol w:w="2484"/>
      </w:tblGrid>
      <w:tr w14:paraId="5EFE5DDA">
        <w:tblPrEx>
          <w:tblCellMar>
            <w:top w:w="0" w:type="dxa"/>
            <w:left w:w="108" w:type="dxa"/>
            <w:bottom w:w="0" w:type="dxa"/>
            <w:right w:w="108" w:type="dxa"/>
          </w:tblCellMar>
        </w:tblPrEx>
        <w:trPr>
          <w:trHeight w:val="960" w:hRule="atLeast"/>
          <w:jc w:val="center"/>
        </w:trPr>
        <w:tc>
          <w:tcPr>
            <w:tcW w:w="8960" w:type="dxa"/>
            <w:gridSpan w:val="9"/>
            <w:tcBorders>
              <w:bottom w:val="single" w:color="auto" w:sz="4" w:space="0"/>
            </w:tcBorders>
            <w:noWrap/>
            <w:vAlign w:val="center"/>
          </w:tcPr>
          <w:p w14:paraId="22480F5E">
            <w:pPr>
              <w:widowControl/>
              <w:jc w:val="center"/>
              <w:rPr>
                <w:rFonts w:eastAsia="文星简小标宋"/>
                <w:bCs/>
                <w:color w:val="auto"/>
                <w:kern w:val="0"/>
                <w:sz w:val="44"/>
                <w:szCs w:val="44"/>
              </w:rPr>
            </w:pPr>
            <w:r>
              <w:rPr>
                <w:rFonts w:hint="eastAsia" w:ascii="Times New Roman" w:hAnsi="Times New Roman" w:eastAsia="方正小标宋简体" w:cs="方正小标宋简体"/>
                <w:bCs/>
                <w:color w:val="auto"/>
                <w:kern w:val="0"/>
                <w:sz w:val="44"/>
                <w:szCs w:val="44"/>
              </w:rPr>
              <w:t>高校毕业生灵活就业社会保险补贴申请表</w:t>
            </w:r>
          </w:p>
        </w:tc>
      </w:tr>
      <w:tr w14:paraId="5A099EE5">
        <w:tblPrEx>
          <w:tblCellMar>
            <w:top w:w="0" w:type="dxa"/>
            <w:left w:w="108" w:type="dxa"/>
            <w:bottom w:w="0" w:type="dxa"/>
            <w:right w:w="108" w:type="dxa"/>
          </w:tblCellMar>
        </w:tblPrEx>
        <w:trPr>
          <w:trHeight w:val="449" w:hRule="atLeast"/>
          <w:jc w:val="center"/>
        </w:trPr>
        <w:tc>
          <w:tcPr>
            <w:tcW w:w="1321" w:type="dxa"/>
            <w:tcBorders>
              <w:top w:val="single" w:color="auto" w:sz="4" w:space="0"/>
              <w:left w:val="single" w:color="auto" w:sz="4" w:space="0"/>
              <w:bottom w:val="single" w:color="auto" w:sz="4" w:space="0"/>
              <w:right w:val="single" w:color="auto" w:sz="4" w:space="0"/>
            </w:tcBorders>
            <w:noWrap/>
            <w:vAlign w:val="center"/>
          </w:tcPr>
          <w:p w14:paraId="38FAF293">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姓</w:t>
            </w:r>
            <w:r>
              <w:rPr>
                <w:rFonts w:hint="eastAsia" w:ascii="Times New Roman" w:hAnsi="Times New Roman" w:eastAsia="仿宋_GB2312" w:cs="仿宋_GB2312"/>
                <w:color w:val="auto"/>
                <w:kern w:val="0"/>
                <w:sz w:val="24"/>
                <w:szCs w:val="24"/>
                <w:lang w:val="en-US" w:eastAsia="zh-CN"/>
              </w:rPr>
              <w:t xml:space="preserve">  </w:t>
            </w:r>
            <w:r>
              <w:rPr>
                <w:rFonts w:hint="eastAsia"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名</w:t>
            </w:r>
          </w:p>
        </w:tc>
        <w:tc>
          <w:tcPr>
            <w:tcW w:w="1287" w:type="dxa"/>
            <w:tcBorders>
              <w:top w:val="single" w:color="auto" w:sz="4" w:space="0"/>
              <w:left w:val="nil"/>
              <w:bottom w:val="single" w:color="auto" w:sz="4" w:space="0"/>
              <w:right w:val="single" w:color="auto" w:sz="4" w:space="0"/>
            </w:tcBorders>
            <w:noWrap/>
            <w:vAlign w:val="center"/>
          </w:tcPr>
          <w:p w14:paraId="7E547432">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436" w:type="dxa"/>
            <w:tcBorders>
              <w:top w:val="single" w:color="auto" w:sz="4" w:space="0"/>
              <w:left w:val="nil"/>
              <w:bottom w:val="single" w:color="auto" w:sz="4" w:space="0"/>
              <w:right w:val="single" w:color="auto" w:sz="4" w:space="0"/>
            </w:tcBorders>
            <w:noWrap/>
            <w:vAlign w:val="center"/>
          </w:tcPr>
          <w:p w14:paraId="5CF247F3">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身份证号码</w:t>
            </w:r>
          </w:p>
        </w:tc>
        <w:tc>
          <w:tcPr>
            <w:tcW w:w="4916" w:type="dxa"/>
            <w:gridSpan w:val="6"/>
            <w:tcBorders>
              <w:top w:val="single" w:color="auto" w:sz="4" w:space="0"/>
              <w:left w:val="nil"/>
              <w:bottom w:val="single" w:color="auto" w:sz="4" w:space="0"/>
              <w:right w:val="single" w:color="auto" w:sz="4" w:space="0"/>
            </w:tcBorders>
            <w:noWrap/>
            <w:vAlign w:val="center"/>
          </w:tcPr>
          <w:p w14:paraId="3346FDB5">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262736C1">
        <w:tblPrEx>
          <w:tblCellMar>
            <w:top w:w="0" w:type="dxa"/>
            <w:left w:w="108" w:type="dxa"/>
            <w:bottom w:w="0" w:type="dxa"/>
            <w:right w:w="108" w:type="dxa"/>
          </w:tblCellMar>
        </w:tblPrEx>
        <w:trPr>
          <w:trHeight w:val="479" w:hRule="atLeast"/>
          <w:jc w:val="center"/>
        </w:trPr>
        <w:tc>
          <w:tcPr>
            <w:tcW w:w="1321" w:type="dxa"/>
            <w:tcBorders>
              <w:top w:val="single" w:color="auto" w:sz="4" w:space="0"/>
              <w:left w:val="single" w:color="auto" w:sz="4" w:space="0"/>
              <w:bottom w:val="single" w:color="auto" w:sz="4" w:space="0"/>
              <w:right w:val="single" w:color="auto" w:sz="4" w:space="0"/>
            </w:tcBorders>
            <w:noWrap/>
            <w:vAlign w:val="center"/>
          </w:tcPr>
          <w:p w14:paraId="2A384AA3">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文化程度</w:t>
            </w:r>
          </w:p>
        </w:tc>
        <w:tc>
          <w:tcPr>
            <w:tcW w:w="1287" w:type="dxa"/>
            <w:tcBorders>
              <w:top w:val="single" w:color="auto" w:sz="4" w:space="0"/>
              <w:left w:val="nil"/>
              <w:bottom w:val="single" w:color="auto" w:sz="4" w:space="0"/>
              <w:right w:val="single" w:color="auto" w:sz="4" w:space="0"/>
            </w:tcBorders>
            <w:noWrap/>
            <w:vAlign w:val="center"/>
          </w:tcPr>
          <w:p w14:paraId="4913250C">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436" w:type="dxa"/>
            <w:tcBorders>
              <w:top w:val="single" w:color="auto" w:sz="4" w:space="0"/>
              <w:left w:val="nil"/>
              <w:bottom w:val="single" w:color="auto" w:sz="4" w:space="0"/>
              <w:right w:val="single" w:color="auto" w:sz="4" w:space="0"/>
            </w:tcBorders>
            <w:noWrap/>
            <w:vAlign w:val="center"/>
          </w:tcPr>
          <w:p w14:paraId="5498C9E7">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毕业时间</w:t>
            </w:r>
          </w:p>
        </w:tc>
        <w:tc>
          <w:tcPr>
            <w:tcW w:w="1189" w:type="dxa"/>
            <w:gridSpan w:val="3"/>
            <w:tcBorders>
              <w:top w:val="single" w:color="auto" w:sz="4" w:space="0"/>
              <w:left w:val="nil"/>
              <w:bottom w:val="single" w:color="auto" w:sz="4" w:space="0"/>
              <w:right w:val="single" w:color="auto" w:sz="4" w:space="0"/>
            </w:tcBorders>
            <w:noWrap/>
            <w:vAlign w:val="center"/>
          </w:tcPr>
          <w:p w14:paraId="13CC3221">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243" w:type="dxa"/>
            <w:gridSpan w:val="2"/>
            <w:tcBorders>
              <w:top w:val="single" w:color="auto" w:sz="4" w:space="0"/>
              <w:left w:val="nil"/>
              <w:bottom w:val="single" w:color="auto" w:sz="4" w:space="0"/>
              <w:right w:val="single" w:color="auto" w:sz="4" w:space="0"/>
            </w:tcBorders>
            <w:noWrap/>
            <w:vAlign w:val="center"/>
          </w:tcPr>
          <w:p w14:paraId="299E1E0D">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毕业院校</w:t>
            </w:r>
          </w:p>
        </w:tc>
        <w:tc>
          <w:tcPr>
            <w:tcW w:w="2484" w:type="dxa"/>
            <w:tcBorders>
              <w:top w:val="single" w:color="auto" w:sz="4" w:space="0"/>
              <w:left w:val="nil"/>
              <w:bottom w:val="single" w:color="auto" w:sz="4" w:space="0"/>
              <w:right w:val="single" w:color="auto" w:sz="4" w:space="0"/>
            </w:tcBorders>
            <w:noWrap/>
            <w:vAlign w:val="center"/>
          </w:tcPr>
          <w:p w14:paraId="1164CBA0">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3D78DF82">
        <w:tblPrEx>
          <w:tblCellMar>
            <w:top w:w="0" w:type="dxa"/>
            <w:left w:w="108" w:type="dxa"/>
            <w:bottom w:w="0" w:type="dxa"/>
            <w:right w:w="108" w:type="dxa"/>
          </w:tblCellMar>
        </w:tblPrEx>
        <w:trPr>
          <w:trHeight w:val="444" w:hRule="atLeast"/>
          <w:jc w:val="center"/>
        </w:trPr>
        <w:tc>
          <w:tcPr>
            <w:tcW w:w="1321" w:type="dxa"/>
            <w:tcBorders>
              <w:top w:val="nil"/>
              <w:left w:val="single" w:color="auto" w:sz="4" w:space="0"/>
              <w:bottom w:val="single" w:color="auto" w:sz="4" w:space="0"/>
              <w:right w:val="single" w:color="auto" w:sz="4" w:space="0"/>
            </w:tcBorders>
            <w:noWrap/>
            <w:vAlign w:val="center"/>
          </w:tcPr>
          <w:p w14:paraId="20E5779D">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联系电话</w:t>
            </w:r>
          </w:p>
        </w:tc>
        <w:tc>
          <w:tcPr>
            <w:tcW w:w="1287" w:type="dxa"/>
            <w:tcBorders>
              <w:top w:val="nil"/>
              <w:left w:val="nil"/>
              <w:bottom w:val="single" w:color="auto" w:sz="4" w:space="0"/>
              <w:right w:val="single" w:color="auto" w:sz="4" w:space="0"/>
            </w:tcBorders>
            <w:noWrap/>
            <w:vAlign w:val="center"/>
          </w:tcPr>
          <w:p w14:paraId="630B0A7A">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436" w:type="dxa"/>
            <w:tcBorders>
              <w:top w:val="nil"/>
              <w:left w:val="nil"/>
              <w:bottom w:val="single" w:color="auto" w:sz="4" w:space="0"/>
              <w:right w:val="single" w:color="auto" w:sz="4" w:space="0"/>
            </w:tcBorders>
            <w:noWrap/>
            <w:vAlign w:val="center"/>
          </w:tcPr>
          <w:p w14:paraId="175CCB2A">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户籍地址</w:t>
            </w:r>
          </w:p>
        </w:tc>
        <w:tc>
          <w:tcPr>
            <w:tcW w:w="4916" w:type="dxa"/>
            <w:gridSpan w:val="6"/>
            <w:tcBorders>
              <w:top w:val="single" w:color="auto" w:sz="4" w:space="0"/>
              <w:left w:val="nil"/>
              <w:bottom w:val="single" w:color="auto" w:sz="4" w:space="0"/>
              <w:right w:val="single" w:color="000000" w:sz="4" w:space="0"/>
            </w:tcBorders>
            <w:noWrap/>
            <w:vAlign w:val="center"/>
          </w:tcPr>
          <w:p w14:paraId="5D90698B">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621D37EB">
        <w:tblPrEx>
          <w:tblCellMar>
            <w:top w:w="0" w:type="dxa"/>
            <w:left w:w="108" w:type="dxa"/>
            <w:bottom w:w="0" w:type="dxa"/>
            <w:right w:w="108" w:type="dxa"/>
          </w:tblCellMar>
        </w:tblPrEx>
        <w:trPr>
          <w:trHeight w:val="519" w:hRule="atLeast"/>
          <w:jc w:val="center"/>
        </w:trPr>
        <w:tc>
          <w:tcPr>
            <w:tcW w:w="1321" w:type="dxa"/>
            <w:tcBorders>
              <w:top w:val="nil"/>
              <w:left w:val="single" w:color="auto" w:sz="4" w:space="0"/>
              <w:bottom w:val="single" w:color="auto" w:sz="4" w:space="0"/>
              <w:right w:val="single" w:color="auto" w:sz="4" w:space="0"/>
            </w:tcBorders>
            <w:noWrap/>
            <w:vAlign w:val="center"/>
          </w:tcPr>
          <w:p w14:paraId="2876EF58">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居住地址</w:t>
            </w:r>
          </w:p>
        </w:tc>
        <w:tc>
          <w:tcPr>
            <w:tcW w:w="7639" w:type="dxa"/>
            <w:gridSpan w:val="8"/>
            <w:tcBorders>
              <w:top w:val="single" w:color="auto" w:sz="4" w:space="0"/>
              <w:left w:val="nil"/>
              <w:bottom w:val="single" w:color="auto" w:sz="4" w:space="0"/>
              <w:right w:val="single" w:color="000000" w:sz="4" w:space="0"/>
            </w:tcBorders>
            <w:noWrap/>
            <w:vAlign w:val="center"/>
          </w:tcPr>
          <w:p w14:paraId="6EEF1A1E">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0F08400B">
        <w:tblPrEx>
          <w:tblCellMar>
            <w:top w:w="0" w:type="dxa"/>
            <w:left w:w="108" w:type="dxa"/>
            <w:bottom w:w="0" w:type="dxa"/>
            <w:right w:w="108" w:type="dxa"/>
          </w:tblCellMar>
        </w:tblPrEx>
        <w:trPr>
          <w:trHeight w:val="624" w:hRule="atLeast"/>
          <w:jc w:val="center"/>
        </w:trPr>
        <w:tc>
          <w:tcPr>
            <w:tcW w:w="1321" w:type="dxa"/>
            <w:tcBorders>
              <w:top w:val="nil"/>
              <w:left w:val="single" w:color="auto" w:sz="4" w:space="0"/>
              <w:bottom w:val="single" w:color="000000" w:sz="4" w:space="0"/>
              <w:right w:val="single" w:color="auto" w:sz="4" w:space="0"/>
            </w:tcBorders>
            <w:noWrap w:val="0"/>
            <w:vAlign w:val="center"/>
          </w:tcPr>
          <w:p w14:paraId="6984A929">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从事灵活就业情况</w:t>
            </w:r>
          </w:p>
        </w:tc>
        <w:tc>
          <w:tcPr>
            <w:tcW w:w="7639" w:type="dxa"/>
            <w:gridSpan w:val="8"/>
            <w:tcBorders>
              <w:top w:val="single" w:color="auto" w:sz="4" w:space="0"/>
              <w:left w:val="single" w:color="auto" w:sz="4" w:space="0"/>
              <w:bottom w:val="single" w:color="auto" w:sz="4" w:space="0"/>
              <w:right w:val="single" w:color="auto" w:sz="4" w:space="0"/>
            </w:tcBorders>
            <w:noWrap w:val="0"/>
            <w:vAlign w:val="center"/>
          </w:tcPr>
          <w:p w14:paraId="138EC220">
            <w:pPr>
              <w:widowControl/>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cs="宋体"/>
                <w:szCs w:val="21"/>
                <w:lang w:val="en-US" w:eastAsia="zh-CN"/>
              </w:rPr>
              <w:t xml:space="preserve">  </w:t>
            </w:r>
            <w:r>
              <w:rPr>
                <w:rFonts w:hint="eastAsia" w:ascii="Times New Roman" w:hAnsi="Times New Roman" w:eastAsia="仿宋_GB2312" w:cs="仿宋_GB2312"/>
                <w:szCs w:val="21"/>
                <w:lang w:val="en-US" w:eastAsia="zh-CN"/>
              </w:rPr>
              <w:t xml:space="preserve">  </w:t>
            </w:r>
            <w:r>
              <w:rPr>
                <w:rFonts w:hint="eastAsia" w:ascii="Times New Roman" w:hAnsi="Times New Roman" w:eastAsia="仿宋_GB2312" w:cs="仿宋_GB2312"/>
                <w:sz w:val="24"/>
                <w:szCs w:val="24"/>
              </w:rPr>
              <w:t>□无雇工个体经营</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□非全日制</w:t>
            </w:r>
            <w:r>
              <w:rPr>
                <w:rFonts w:hint="eastAsia" w:ascii="Times New Roman" w:hAnsi="Times New Roman" w:eastAsia="仿宋_GB2312" w:cs="仿宋_GB2312"/>
                <w:sz w:val="24"/>
                <w:szCs w:val="24"/>
                <w:lang w:eastAsia="zh-CN"/>
              </w:rPr>
              <w:t>就业</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□新就业形态</w:t>
            </w:r>
            <w:r>
              <w:rPr>
                <w:rFonts w:hint="eastAsia" w:ascii="Times New Roman" w:hAnsi="Times New Roman" w:cs="宋体"/>
                <w:sz w:val="24"/>
                <w:szCs w:val="24"/>
              </w:rPr>
              <w:t xml:space="preserve"> </w:t>
            </w:r>
          </w:p>
        </w:tc>
      </w:tr>
      <w:tr w14:paraId="170148F1">
        <w:tblPrEx>
          <w:tblCellMar>
            <w:top w:w="0" w:type="dxa"/>
            <w:left w:w="108" w:type="dxa"/>
            <w:bottom w:w="0" w:type="dxa"/>
            <w:right w:w="108" w:type="dxa"/>
          </w:tblCellMar>
        </w:tblPrEx>
        <w:trPr>
          <w:trHeight w:val="2033" w:hRule="atLeast"/>
          <w:jc w:val="center"/>
        </w:trPr>
        <w:tc>
          <w:tcPr>
            <w:tcW w:w="1321" w:type="dxa"/>
            <w:tcBorders>
              <w:top w:val="nil"/>
              <w:left w:val="single" w:color="auto" w:sz="4" w:space="0"/>
              <w:bottom w:val="single" w:color="000000" w:sz="4" w:space="0"/>
              <w:right w:val="single" w:color="auto" w:sz="4" w:space="0"/>
            </w:tcBorders>
            <w:noWrap w:val="0"/>
            <w:vAlign w:val="center"/>
          </w:tcPr>
          <w:p w14:paraId="1CF002F7">
            <w:pPr>
              <w:widowControl/>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申请补贴类型及时间</w:t>
            </w:r>
          </w:p>
        </w:tc>
        <w:tc>
          <w:tcPr>
            <w:tcW w:w="3819" w:type="dxa"/>
            <w:gridSpan w:val="4"/>
            <w:tcBorders>
              <w:top w:val="single" w:color="auto" w:sz="4" w:space="0"/>
              <w:left w:val="single" w:color="auto" w:sz="4" w:space="0"/>
              <w:bottom w:val="single" w:color="auto" w:sz="4" w:space="0"/>
              <w:right w:val="single" w:color="000000" w:sz="4" w:space="0"/>
            </w:tcBorders>
            <w:noWrap w:val="0"/>
            <w:vAlign w:val="center"/>
          </w:tcPr>
          <w:p w14:paraId="26440B43">
            <w:pPr>
              <w:widowControl/>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1.申请</w:t>
            </w:r>
            <w:r>
              <w:rPr>
                <w:rFonts w:hint="eastAsia" w:ascii="Times New Roman" w:hAnsi="Times New Roman" w:eastAsia="仿宋_GB2312" w:cs="仿宋_GB2312"/>
                <w:color w:val="auto"/>
                <w:kern w:val="0"/>
                <w:sz w:val="24"/>
                <w:szCs w:val="24"/>
                <w:u w:val="single"/>
              </w:rPr>
              <w:t xml:space="preserve">  </w:t>
            </w:r>
            <w:r>
              <w:rPr>
                <w:rFonts w:hint="eastAsia" w:ascii="Times New Roman" w:hAnsi="Times New Roman" w:eastAsia="仿宋_GB2312" w:cs="仿宋_GB2312"/>
                <w:color w:val="auto"/>
                <w:kern w:val="0"/>
                <w:sz w:val="24"/>
                <w:szCs w:val="24"/>
                <w:u w:val="single"/>
                <w:lang w:val="en-US" w:eastAsia="zh-CN"/>
              </w:rPr>
              <w:t xml:space="preserve"> </w:t>
            </w:r>
            <w:r>
              <w:rPr>
                <w:rFonts w:hint="eastAsia" w:ascii="Times New Roman" w:hAnsi="Times New Roman" w:eastAsia="仿宋_GB2312" w:cs="仿宋_GB2312"/>
                <w:color w:val="auto"/>
                <w:kern w:val="0"/>
                <w:sz w:val="24"/>
                <w:szCs w:val="24"/>
                <w:u w:val="single"/>
              </w:rPr>
              <w:t xml:space="preserve">   </w:t>
            </w:r>
            <w:r>
              <w:rPr>
                <w:rFonts w:hint="eastAsia" w:ascii="Times New Roman" w:hAnsi="Times New Roman" w:eastAsia="仿宋_GB2312" w:cs="仿宋_GB2312"/>
                <w:color w:val="auto"/>
                <w:kern w:val="0"/>
                <w:sz w:val="24"/>
                <w:szCs w:val="24"/>
                <w:u w:val="none"/>
                <w:lang w:eastAsia="zh-CN"/>
              </w:rPr>
              <w:t>年以下月份的</w:t>
            </w:r>
            <w:r>
              <w:rPr>
                <w:rFonts w:hint="eastAsia" w:ascii="Times New Roman" w:hAnsi="Times New Roman" w:eastAsia="仿宋_GB2312" w:cs="仿宋_GB2312"/>
                <w:color w:val="auto"/>
                <w:kern w:val="0"/>
                <w:sz w:val="24"/>
                <w:szCs w:val="24"/>
                <w:lang w:val="en-US" w:eastAsia="zh-CN"/>
              </w:rPr>
              <w:t>养老保险费补贴：</w:t>
            </w:r>
          </w:p>
          <w:p w14:paraId="2642CDC7">
            <w:pPr>
              <w:widowControl/>
              <w:jc w:val="left"/>
              <w:rPr>
                <w:rFonts w:hint="eastAsia" w:ascii="Times New Roman" w:hAnsi="Times New Roman" w:eastAsia="仿宋_GB2312" w:cs="仿宋_GB2312"/>
                <w:color w:val="auto"/>
                <w:kern w:val="0"/>
                <w:sz w:val="24"/>
                <w:szCs w:val="24"/>
                <w:u w:val="none"/>
                <w:lang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2</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3</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4</w:t>
            </w:r>
            <w:r>
              <w:rPr>
                <w:rFonts w:hint="eastAsia" w:ascii="Times New Roman" w:hAnsi="Times New Roman" w:eastAsia="仿宋_GB2312" w:cs="仿宋_GB2312"/>
                <w:color w:val="auto"/>
                <w:kern w:val="0"/>
                <w:sz w:val="24"/>
                <w:szCs w:val="24"/>
                <w:u w:val="none"/>
                <w:lang w:eastAsia="zh-CN"/>
              </w:rPr>
              <w:t>月</w:t>
            </w:r>
          </w:p>
          <w:p w14:paraId="6DD14B15">
            <w:pPr>
              <w:widowControl/>
              <w:jc w:val="left"/>
              <w:rPr>
                <w:rFonts w:hint="eastAsia" w:ascii="Times New Roman" w:hAnsi="Times New Roman" w:eastAsia="仿宋_GB2312" w:cs="仿宋_GB2312"/>
                <w:color w:val="auto"/>
                <w:kern w:val="0"/>
                <w:sz w:val="24"/>
                <w:szCs w:val="24"/>
                <w:u w:val="none"/>
                <w:lang w:val="en-US"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5</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6</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7</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8</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p>
          <w:p w14:paraId="4320ED1A">
            <w:pPr>
              <w:widowControl/>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9</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10</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11</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12</w:t>
            </w:r>
            <w:r>
              <w:rPr>
                <w:rFonts w:hint="eastAsia" w:ascii="Times New Roman" w:hAnsi="Times New Roman" w:eastAsia="仿宋_GB2312" w:cs="仿宋_GB2312"/>
                <w:color w:val="auto"/>
                <w:kern w:val="0"/>
                <w:sz w:val="24"/>
                <w:szCs w:val="24"/>
                <w:u w:val="none"/>
                <w:lang w:eastAsia="zh-CN"/>
              </w:rPr>
              <w:t>月</w:t>
            </w:r>
          </w:p>
        </w:tc>
        <w:tc>
          <w:tcPr>
            <w:tcW w:w="3820" w:type="dxa"/>
            <w:gridSpan w:val="4"/>
            <w:tcBorders>
              <w:top w:val="single" w:color="auto" w:sz="4" w:space="0"/>
              <w:left w:val="single" w:color="auto" w:sz="4" w:space="0"/>
              <w:bottom w:val="single" w:color="auto" w:sz="4" w:space="0"/>
              <w:right w:val="single" w:color="000000" w:sz="4" w:space="0"/>
            </w:tcBorders>
            <w:noWrap w:val="0"/>
            <w:vAlign w:val="center"/>
          </w:tcPr>
          <w:p w14:paraId="30FBD38F">
            <w:pPr>
              <w:widowControl/>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2.申请</w:t>
            </w:r>
            <w:r>
              <w:rPr>
                <w:rFonts w:hint="eastAsia" w:ascii="Times New Roman" w:hAnsi="Times New Roman" w:eastAsia="仿宋_GB2312" w:cs="仿宋_GB2312"/>
                <w:color w:val="auto"/>
                <w:kern w:val="0"/>
                <w:sz w:val="24"/>
                <w:szCs w:val="24"/>
                <w:u w:val="single"/>
              </w:rPr>
              <w:t xml:space="preserve">  </w:t>
            </w:r>
            <w:r>
              <w:rPr>
                <w:rFonts w:hint="eastAsia" w:ascii="Times New Roman" w:hAnsi="Times New Roman" w:eastAsia="仿宋_GB2312" w:cs="仿宋_GB2312"/>
                <w:color w:val="auto"/>
                <w:kern w:val="0"/>
                <w:sz w:val="24"/>
                <w:szCs w:val="24"/>
                <w:u w:val="single"/>
                <w:lang w:val="en-US" w:eastAsia="zh-CN"/>
              </w:rPr>
              <w:t xml:space="preserve"> </w:t>
            </w:r>
            <w:r>
              <w:rPr>
                <w:rFonts w:hint="eastAsia" w:ascii="Times New Roman" w:hAnsi="Times New Roman" w:eastAsia="仿宋_GB2312" w:cs="仿宋_GB2312"/>
                <w:color w:val="auto"/>
                <w:kern w:val="0"/>
                <w:sz w:val="24"/>
                <w:szCs w:val="24"/>
                <w:u w:val="single"/>
              </w:rPr>
              <w:t xml:space="preserve">   </w:t>
            </w:r>
            <w:r>
              <w:rPr>
                <w:rFonts w:hint="eastAsia" w:ascii="Times New Roman" w:hAnsi="Times New Roman" w:eastAsia="仿宋_GB2312" w:cs="仿宋_GB2312"/>
                <w:color w:val="auto"/>
                <w:kern w:val="0"/>
                <w:sz w:val="24"/>
                <w:szCs w:val="24"/>
                <w:u w:val="none"/>
                <w:lang w:eastAsia="zh-CN"/>
              </w:rPr>
              <w:t>年以下月份的</w:t>
            </w:r>
            <w:r>
              <w:rPr>
                <w:rFonts w:hint="eastAsia" w:ascii="Times New Roman" w:hAnsi="Times New Roman" w:eastAsia="仿宋_GB2312" w:cs="仿宋_GB2312"/>
                <w:color w:val="auto"/>
                <w:kern w:val="0"/>
                <w:sz w:val="24"/>
                <w:szCs w:val="24"/>
                <w:lang w:val="en-US" w:eastAsia="zh-CN"/>
              </w:rPr>
              <w:t>医疗保险费补贴：</w:t>
            </w:r>
          </w:p>
          <w:p w14:paraId="2AE068D1">
            <w:pPr>
              <w:widowControl/>
              <w:jc w:val="left"/>
              <w:rPr>
                <w:rFonts w:hint="eastAsia" w:ascii="Times New Roman" w:hAnsi="Times New Roman" w:eastAsia="仿宋_GB2312" w:cs="仿宋_GB2312"/>
                <w:color w:val="auto"/>
                <w:kern w:val="0"/>
                <w:sz w:val="24"/>
                <w:szCs w:val="24"/>
                <w:u w:val="none"/>
                <w:lang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2</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3</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4</w:t>
            </w:r>
            <w:r>
              <w:rPr>
                <w:rFonts w:hint="eastAsia" w:ascii="Times New Roman" w:hAnsi="Times New Roman" w:eastAsia="仿宋_GB2312" w:cs="仿宋_GB2312"/>
                <w:color w:val="auto"/>
                <w:kern w:val="0"/>
                <w:sz w:val="24"/>
                <w:szCs w:val="24"/>
                <w:u w:val="none"/>
                <w:lang w:eastAsia="zh-CN"/>
              </w:rPr>
              <w:t>月</w:t>
            </w:r>
          </w:p>
          <w:p w14:paraId="2728244A">
            <w:pPr>
              <w:widowControl/>
              <w:jc w:val="left"/>
              <w:rPr>
                <w:rFonts w:hint="eastAsia" w:ascii="Times New Roman" w:hAnsi="Times New Roman" w:eastAsia="仿宋_GB2312" w:cs="仿宋_GB2312"/>
                <w:color w:val="auto"/>
                <w:kern w:val="0"/>
                <w:sz w:val="24"/>
                <w:szCs w:val="24"/>
                <w:u w:val="none"/>
                <w:lang w:val="en-US"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5</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6</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7</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8</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p>
          <w:p w14:paraId="0D847922">
            <w:pPr>
              <w:widowControl/>
              <w:jc w:val="left"/>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9</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10</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11</w:t>
            </w:r>
            <w:r>
              <w:rPr>
                <w:rFonts w:hint="eastAsia" w:ascii="Times New Roman" w:hAnsi="Times New Roman" w:eastAsia="仿宋_GB2312" w:cs="仿宋_GB2312"/>
                <w:color w:val="auto"/>
                <w:kern w:val="0"/>
                <w:sz w:val="24"/>
                <w:szCs w:val="24"/>
                <w:u w:val="none"/>
                <w:lang w:eastAsia="zh-CN"/>
              </w:rPr>
              <w:t>月</w:t>
            </w:r>
            <w:r>
              <w:rPr>
                <w:rFonts w:hint="eastAsia" w:ascii="Times New Roman" w:hAnsi="Times New Roman" w:eastAsia="仿宋_GB2312" w:cs="仿宋_GB2312"/>
                <w:color w:val="auto"/>
                <w:kern w:val="0"/>
                <w:sz w:val="24"/>
                <w:szCs w:val="24"/>
                <w:u w:val="none"/>
                <w:lang w:val="en-US" w:eastAsia="zh-CN"/>
              </w:rPr>
              <w:t xml:space="preserve"> </w:t>
            </w:r>
            <w:r>
              <w:rPr>
                <w:rFonts w:hint="eastAsia" w:ascii="Times New Roman" w:hAnsi="Times New Roman" w:eastAsia="仿宋_GB2312" w:cs="仿宋_GB2312"/>
                <w:sz w:val="24"/>
                <w:szCs w:val="24"/>
              </w:rPr>
              <w:t>□</w:t>
            </w:r>
            <w:r>
              <w:rPr>
                <w:rFonts w:hint="eastAsia" w:ascii="Times New Roman" w:hAnsi="Times New Roman" w:eastAsia="仿宋_GB2312" w:cs="仿宋_GB2312"/>
                <w:color w:val="auto"/>
                <w:kern w:val="0"/>
                <w:sz w:val="24"/>
                <w:szCs w:val="24"/>
                <w:u w:val="single"/>
                <w:lang w:val="en-US" w:eastAsia="zh-CN"/>
              </w:rPr>
              <w:t>12</w:t>
            </w:r>
            <w:r>
              <w:rPr>
                <w:rFonts w:hint="eastAsia" w:ascii="Times New Roman" w:hAnsi="Times New Roman" w:eastAsia="仿宋_GB2312" w:cs="仿宋_GB2312"/>
                <w:color w:val="auto"/>
                <w:kern w:val="0"/>
                <w:sz w:val="24"/>
                <w:szCs w:val="24"/>
                <w:u w:val="none"/>
                <w:lang w:eastAsia="zh-CN"/>
              </w:rPr>
              <w:t>月</w:t>
            </w:r>
          </w:p>
        </w:tc>
      </w:tr>
      <w:tr w14:paraId="4701DEEA">
        <w:tblPrEx>
          <w:tblCellMar>
            <w:top w:w="0" w:type="dxa"/>
            <w:left w:w="108" w:type="dxa"/>
            <w:bottom w:w="0" w:type="dxa"/>
            <w:right w:w="108" w:type="dxa"/>
          </w:tblCellMar>
        </w:tblPrEx>
        <w:trPr>
          <w:trHeight w:val="624" w:hRule="atLeast"/>
          <w:jc w:val="center"/>
        </w:trPr>
        <w:tc>
          <w:tcPr>
            <w:tcW w:w="1321" w:type="dxa"/>
            <w:tcBorders>
              <w:top w:val="single" w:color="auto" w:sz="4" w:space="0"/>
              <w:left w:val="single" w:color="auto" w:sz="4" w:space="0"/>
              <w:right w:val="single" w:color="auto" w:sz="4" w:space="0"/>
            </w:tcBorders>
            <w:noWrap w:val="0"/>
            <w:vAlign w:val="center"/>
          </w:tcPr>
          <w:p w14:paraId="1F8A0522">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本人</w:t>
            </w:r>
          </w:p>
          <w:p w14:paraId="6E693F91">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银行账号</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14:paraId="4F5991F8">
            <w:pPr>
              <w:widowControl/>
              <w:jc w:val="left"/>
              <w:rPr>
                <w:rFonts w:hint="eastAsia" w:ascii="Times New Roman" w:hAnsi="Times New Roman" w:eastAsia="仿宋_GB2312" w:cs="仿宋_GB2312"/>
                <w:color w:val="auto"/>
                <w:kern w:val="0"/>
                <w:sz w:val="24"/>
                <w:szCs w:val="24"/>
              </w:rPr>
            </w:pP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14:paraId="5A12475E">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户名</w:t>
            </w:r>
          </w:p>
        </w:tc>
        <w:tc>
          <w:tcPr>
            <w:tcW w:w="2815" w:type="dxa"/>
            <w:gridSpan w:val="2"/>
            <w:tcBorders>
              <w:top w:val="single" w:color="auto" w:sz="4" w:space="0"/>
              <w:left w:val="single" w:color="auto" w:sz="4" w:space="0"/>
              <w:bottom w:val="single" w:color="auto" w:sz="4" w:space="0"/>
              <w:right w:val="single" w:color="000000" w:sz="4" w:space="0"/>
            </w:tcBorders>
            <w:noWrap w:val="0"/>
            <w:vAlign w:val="center"/>
          </w:tcPr>
          <w:p w14:paraId="2427B32B">
            <w:pPr>
              <w:pStyle w:val="4"/>
              <w:jc w:val="both"/>
              <w:rPr>
                <w:rFonts w:hint="eastAsia"/>
              </w:rPr>
            </w:pPr>
          </w:p>
        </w:tc>
      </w:tr>
      <w:tr w14:paraId="36877F3C">
        <w:tblPrEx>
          <w:tblCellMar>
            <w:top w:w="0" w:type="dxa"/>
            <w:left w:w="108" w:type="dxa"/>
            <w:bottom w:w="0" w:type="dxa"/>
            <w:right w:w="108" w:type="dxa"/>
          </w:tblCellMar>
        </w:tblPrEx>
        <w:trPr>
          <w:trHeight w:val="624" w:hRule="atLeast"/>
          <w:jc w:val="center"/>
        </w:trPr>
        <w:tc>
          <w:tcPr>
            <w:tcW w:w="1321" w:type="dxa"/>
            <w:tcBorders>
              <w:top w:val="single" w:color="auto" w:sz="4" w:space="0"/>
              <w:left w:val="single" w:color="auto" w:sz="4" w:space="0"/>
              <w:right w:val="single" w:color="auto" w:sz="4" w:space="0"/>
            </w:tcBorders>
            <w:noWrap w:val="0"/>
            <w:vAlign w:val="center"/>
          </w:tcPr>
          <w:p w14:paraId="4A426A43">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开户行</w:t>
            </w:r>
          </w:p>
          <w:p w14:paraId="6D92D37D">
            <w:pPr>
              <w:widowControl/>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kern w:val="0"/>
                <w:sz w:val="24"/>
                <w:szCs w:val="24"/>
                <w:lang w:eastAsia="zh-CN"/>
              </w:rPr>
              <w:t>名称</w:t>
            </w:r>
          </w:p>
        </w:tc>
        <w:tc>
          <w:tcPr>
            <w:tcW w:w="3374" w:type="dxa"/>
            <w:gridSpan w:val="3"/>
            <w:tcBorders>
              <w:top w:val="single" w:color="auto" w:sz="4" w:space="0"/>
              <w:left w:val="single" w:color="auto" w:sz="4" w:space="0"/>
              <w:bottom w:val="single" w:color="auto" w:sz="4" w:space="0"/>
              <w:right w:val="single" w:color="auto" w:sz="4" w:space="0"/>
            </w:tcBorders>
            <w:noWrap w:val="0"/>
            <w:vAlign w:val="center"/>
          </w:tcPr>
          <w:p w14:paraId="7DD7DEB4">
            <w:pPr>
              <w:widowControl/>
              <w:jc w:val="left"/>
              <w:rPr>
                <w:rFonts w:hint="eastAsia" w:ascii="Times New Roman" w:hAnsi="Times New Roman" w:eastAsia="仿宋_GB2312" w:cs="仿宋_GB2312"/>
                <w:color w:val="auto"/>
                <w:kern w:val="0"/>
                <w:sz w:val="24"/>
                <w:szCs w:val="24"/>
              </w:rPr>
            </w:pP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14:paraId="55F473CA">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开户行行号</w:t>
            </w:r>
          </w:p>
        </w:tc>
        <w:tc>
          <w:tcPr>
            <w:tcW w:w="2815" w:type="dxa"/>
            <w:gridSpan w:val="2"/>
            <w:tcBorders>
              <w:top w:val="single" w:color="auto" w:sz="4" w:space="0"/>
              <w:left w:val="single" w:color="auto" w:sz="4" w:space="0"/>
              <w:bottom w:val="single" w:color="auto" w:sz="4" w:space="0"/>
              <w:right w:val="single" w:color="000000" w:sz="4" w:space="0"/>
            </w:tcBorders>
            <w:noWrap w:val="0"/>
            <w:vAlign w:val="center"/>
          </w:tcPr>
          <w:p w14:paraId="323F0A78">
            <w:pPr>
              <w:widowControl/>
              <w:jc w:val="left"/>
              <w:rPr>
                <w:rFonts w:hint="eastAsia" w:ascii="Times New Roman" w:hAnsi="Times New Roman" w:eastAsia="仿宋_GB2312" w:cs="仿宋_GB2312"/>
                <w:color w:val="auto"/>
                <w:kern w:val="0"/>
                <w:sz w:val="24"/>
                <w:szCs w:val="24"/>
              </w:rPr>
            </w:pPr>
          </w:p>
        </w:tc>
      </w:tr>
      <w:tr w14:paraId="17A89138">
        <w:tblPrEx>
          <w:tblCellMar>
            <w:top w:w="0" w:type="dxa"/>
            <w:left w:w="108" w:type="dxa"/>
            <w:bottom w:w="0" w:type="dxa"/>
            <w:right w:w="108" w:type="dxa"/>
          </w:tblCellMar>
        </w:tblPrEx>
        <w:trPr>
          <w:trHeight w:val="1795" w:hRule="atLeast"/>
          <w:jc w:val="center"/>
        </w:trPr>
        <w:tc>
          <w:tcPr>
            <w:tcW w:w="8960" w:type="dxa"/>
            <w:gridSpan w:val="9"/>
            <w:tcBorders>
              <w:top w:val="single" w:color="auto" w:sz="4" w:space="0"/>
              <w:left w:val="single" w:color="auto" w:sz="4" w:space="0"/>
              <w:bottom w:val="single" w:color="auto" w:sz="4" w:space="0"/>
              <w:right w:val="single" w:color="000000" w:sz="4" w:space="0"/>
            </w:tcBorders>
            <w:noWrap w:val="0"/>
            <w:vAlign w:val="center"/>
          </w:tcPr>
          <w:p w14:paraId="5D4D8CB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本人承诺符合补贴申领条件，申报情况及提供材料属实，如有虚假，立即退回违规申领的补贴资金，涉嫌犯罪的，依法承担</w:t>
            </w:r>
            <w:r>
              <w:rPr>
                <w:rFonts w:hint="eastAsia" w:ascii="Times New Roman" w:hAnsi="Times New Roman" w:eastAsia="仿宋_GB2312" w:cs="仿宋_GB2312"/>
                <w:sz w:val="24"/>
                <w:szCs w:val="24"/>
                <w:lang w:val="en-US" w:eastAsia="zh-CN"/>
              </w:rPr>
              <w:t>相关</w:t>
            </w:r>
            <w:r>
              <w:rPr>
                <w:rFonts w:hint="eastAsia" w:ascii="Times New Roman" w:hAnsi="Times New Roman" w:eastAsia="仿宋_GB2312" w:cs="仿宋_GB2312"/>
                <w:sz w:val="24"/>
                <w:szCs w:val="24"/>
                <w:lang w:eastAsia="zh-CN"/>
              </w:rPr>
              <w:t>法律责任。</w:t>
            </w:r>
          </w:p>
          <w:p w14:paraId="024792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申请人</w:t>
            </w:r>
            <w:r>
              <w:rPr>
                <w:rFonts w:hint="eastAsia" w:ascii="Times New Roman" w:hAnsi="Times New Roman" w:eastAsia="仿宋_GB2312" w:cs="仿宋_GB2312"/>
                <w:color w:val="auto"/>
                <w:kern w:val="0"/>
                <w:sz w:val="24"/>
                <w:szCs w:val="24"/>
                <w:lang w:eastAsia="zh-CN"/>
              </w:rPr>
              <w:t>签名</w:t>
            </w: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年   月   日</w:t>
            </w:r>
          </w:p>
        </w:tc>
      </w:tr>
      <w:tr w14:paraId="67451D52">
        <w:tblPrEx>
          <w:tblCellMar>
            <w:top w:w="0" w:type="dxa"/>
            <w:left w:w="108" w:type="dxa"/>
            <w:bottom w:w="0" w:type="dxa"/>
            <w:right w:w="108" w:type="dxa"/>
          </w:tblCellMar>
        </w:tblPrEx>
        <w:trPr>
          <w:trHeight w:val="2348"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7189ACBA">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eastAsia="zh-CN"/>
              </w:rPr>
              <w:t>区人社局</w:t>
            </w:r>
            <w:r>
              <w:rPr>
                <w:rFonts w:hint="eastAsia" w:ascii="Times New Roman" w:hAnsi="Times New Roman" w:eastAsia="仿宋_GB2312" w:cs="仿宋_GB2312"/>
                <w:color w:val="auto"/>
                <w:kern w:val="0"/>
                <w:sz w:val="24"/>
                <w:szCs w:val="24"/>
              </w:rPr>
              <w:t>意见</w:t>
            </w:r>
          </w:p>
        </w:tc>
        <w:tc>
          <w:tcPr>
            <w:tcW w:w="7639" w:type="dxa"/>
            <w:gridSpan w:val="8"/>
            <w:tcBorders>
              <w:top w:val="single" w:color="auto" w:sz="4" w:space="0"/>
              <w:left w:val="single" w:color="auto" w:sz="4" w:space="0"/>
              <w:bottom w:val="single" w:color="auto" w:sz="4" w:space="0"/>
              <w:right w:val="single" w:color="auto" w:sz="4" w:space="0"/>
            </w:tcBorders>
            <w:noWrap/>
            <w:vAlign w:val="center"/>
          </w:tcPr>
          <w:p w14:paraId="37870607">
            <w:pPr>
              <w:widowControl/>
              <w:ind w:firstLine="480"/>
              <w:jc w:val="both"/>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eastAsia="zh-CN"/>
              </w:rPr>
              <w:t>经审核，该申请人符合申领高校毕业生灵活就业社会保险补贴条件，给予</w:t>
            </w:r>
            <w:r>
              <w:rPr>
                <w:rFonts w:hint="eastAsia" w:ascii="Times New Roman" w:hAnsi="Times New Roman" w:eastAsia="仿宋_GB2312" w:cs="仿宋_GB2312"/>
                <w:color w:val="auto"/>
                <w:kern w:val="0"/>
                <w:sz w:val="24"/>
                <w:szCs w:val="24"/>
                <w:lang w:val="en-US" w:eastAsia="zh-CN"/>
              </w:rPr>
              <w:t>社会保险补贴</w:t>
            </w:r>
            <w:r>
              <w:rPr>
                <w:rFonts w:hint="eastAsia" w:ascii="Times New Roman" w:hAnsi="Times New Roman" w:eastAsia="仿宋_GB2312" w:cs="仿宋_GB2312"/>
                <w:color w:val="auto"/>
                <w:kern w:val="0"/>
                <w:sz w:val="24"/>
                <w:szCs w:val="24"/>
                <w:u w:val="single"/>
                <w:lang w:val="en-US" w:eastAsia="zh-CN"/>
              </w:rPr>
              <w:t xml:space="preserve">        </w:t>
            </w:r>
            <w:r>
              <w:rPr>
                <w:rFonts w:hint="eastAsia" w:ascii="Times New Roman" w:hAnsi="Times New Roman" w:eastAsia="仿宋_GB2312" w:cs="仿宋_GB2312"/>
                <w:color w:val="auto"/>
                <w:kern w:val="0"/>
                <w:sz w:val="24"/>
                <w:szCs w:val="24"/>
                <w:u w:val="none"/>
                <w:lang w:val="en-US" w:eastAsia="zh-CN"/>
              </w:rPr>
              <w:t>元。</w:t>
            </w:r>
          </w:p>
          <w:p w14:paraId="3F2CB357">
            <w:pPr>
              <w:wordWrap w:val="0"/>
              <w:spacing w:line="240" w:lineRule="exact"/>
              <w:ind w:right="480"/>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sz w:val="24"/>
                <w:szCs w:val="24"/>
              </w:rPr>
              <w:t xml:space="preserve">  单位签章：</w:t>
            </w:r>
          </w:p>
          <w:p w14:paraId="7DCA9213">
            <w:pPr>
              <w:widowControl/>
              <w:jc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p>
          <w:p w14:paraId="736A3475">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 xml:space="preserve"> 年   月   日</w:t>
            </w:r>
          </w:p>
        </w:tc>
      </w:tr>
    </w:tbl>
    <w:p w14:paraId="20574AD4">
      <w:pPr>
        <w:rPr>
          <w:rFonts w:hint="eastAsia" w:ascii="Times New Roman" w:hAnsi="Times New Roman" w:eastAsia="仿宋_GB2312" w:cs="仿宋_GB2312"/>
          <w:color w:val="FF0000"/>
          <w:sz w:val="24"/>
          <w:szCs w:val="24"/>
          <w:lang w:eastAsia="zh-CN"/>
        </w:rPr>
      </w:pPr>
      <w:r>
        <w:rPr>
          <w:rFonts w:hint="eastAsia" w:ascii="Times New Roman" w:hAnsi="Times New Roman" w:eastAsia="仿宋_GB2312" w:cs="仿宋_GB2312"/>
          <w:color w:val="auto"/>
          <w:sz w:val="24"/>
          <w:szCs w:val="24"/>
          <w:lang w:eastAsia="zh-CN"/>
        </w:rPr>
        <w:t>备注：选择带</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lang w:eastAsia="zh-CN"/>
        </w:rPr>
        <w:t>内容在</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lang w:eastAsia="zh-CN"/>
        </w:rPr>
        <w:t>内打√。</w:t>
      </w:r>
    </w:p>
    <w:p w14:paraId="003F5811">
      <w:pPr>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647EE6-ED86-49D6-B4AF-8A95A7FDC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7FFFC31-FA06-48E1-9988-0E1E2C74B26E}"/>
  </w:font>
  <w:font w:name="仿宋_GB2312">
    <w:panose1 w:val="02010609030101010101"/>
    <w:charset w:val="86"/>
    <w:family w:val="modern"/>
    <w:pitch w:val="default"/>
    <w:sig w:usb0="00000001" w:usb1="080E0000" w:usb2="00000000" w:usb3="00000000" w:csb0="00040000" w:csb1="00000000"/>
    <w:embedRegular r:id="rId3" w:fontKey="{EB367B74-0ADC-41E9-A0F0-E9F85F939F16}"/>
  </w:font>
  <w:font w:name="楷体_GB2312">
    <w:panose1 w:val="02010609030101010101"/>
    <w:charset w:val="86"/>
    <w:family w:val="auto"/>
    <w:pitch w:val="default"/>
    <w:sig w:usb0="00000001" w:usb1="080E0000" w:usb2="00000000" w:usb3="00000000" w:csb0="00040000" w:csb1="00000000"/>
    <w:embedRegular r:id="rId4" w:fontKey="{F48A47A3-0735-45CA-B639-0350A0466E11}"/>
  </w:font>
  <w:font w:name="文星简小标宋">
    <w:altName w:val="方正小标宋简体"/>
    <w:panose1 w:val="00000000000000000000"/>
    <w:charset w:val="86"/>
    <w:family w:val="modern"/>
    <w:pitch w:val="default"/>
    <w:sig w:usb0="00000000" w:usb1="00000000" w:usb2="00000010" w:usb3="00000000" w:csb0="00040000" w:csb1="00000000"/>
    <w:embedRegular r:id="rId5" w:fontKey="{178A4F0A-9BDD-4A28-BDD4-903E07C84801}"/>
  </w:font>
  <w:font w:name="楷体">
    <w:panose1 w:val="02010609060101010101"/>
    <w:charset w:val="86"/>
    <w:family w:val="auto"/>
    <w:pitch w:val="default"/>
    <w:sig w:usb0="800002BF" w:usb1="38CF7CFA" w:usb2="00000016" w:usb3="00000000" w:csb0="00040001" w:csb1="00000000"/>
    <w:embedRegular r:id="rId6" w:fontKey="{A1690746-C4F6-42D1-8F82-AAA298F84CAF}"/>
  </w:font>
  <w:font w:name="Wingdings 2">
    <w:altName w:val="Wingdings"/>
    <w:panose1 w:val="05020102010507070707"/>
    <w:charset w:val="00"/>
    <w:family w:val="roman"/>
    <w:pitch w:val="default"/>
    <w:sig w:usb0="00000000" w:usb1="00000000" w:usb2="00000000" w:usb3="00000000" w:csb0="80000000" w:csb1="00000000"/>
    <w:embedRegular r:id="rId7" w:fontKey="{B3617F62-A8A0-482B-8BCC-3042FD240C63}"/>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B070">
    <w:pPr>
      <w:pStyle w:val="5"/>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1B24C2C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20DA">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38517E4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6E7648B"/>
    <w:rsid w:val="399331B0"/>
    <w:rsid w:val="3FE51ED4"/>
    <w:rsid w:val="5DFF50AC"/>
    <w:rsid w:val="6ED7528A"/>
    <w:rsid w:val="725D5C12"/>
    <w:rsid w:val="73FF3A27"/>
    <w:rsid w:val="7AB835C6"/>
    <w:rsid w:val="7D773FBF"/>
    <w:rsid w:val="7E79712C"/>
    <w:rsid w:val="7F5FFD23"/>
    <w:rsid w:val="7F6F50BE"/>
    <w:rsid w:val="7F7EF5CF"/>
    <w:rsid w:val="BAFF8CE4"/>
    <w:rsid w:val="BD7FBEDD"/>
    <w:rsid w:val="FFEE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index 5"/>
    <w:basedOn w:val="1"/>
    <w:next w:val="1"/>
    <w:qFormat/>
    <w:uiPriority w:val="2"/>
    <w:pPr>
      <w:ind w:left="1680"/>
    </w:pPr>
  </w:style>
  <w:style w:type="paragraph" w:styleId="4">
    <w:name w:val="Body Text"/>
    <w:basedOn w:val="1"/>
    <w:next w:val="5"/>
    <w:qFormat/>
    <w:uiPriority w:val="0"/>
    <w:pPr>
      <w:jc w:val="center"/>
    </w:pPr>
    <w:rPr>
      <w:sz w:val="44"/>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2211</Words>
  <Characters>2276</Characters>
  <Lines>1</Lines>
  <Paragraphs>1</Paragraphs>
  <TotalTime>3</TotalTime>
  <ScaleCrop>false</ScaleCrop>
  <LinksUpToDate>false</LinksUpToDate>
  <CharactersWithSpaces>2571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2024-12-23T22:05:00Z</cp:lastPrinted>
  <dcterms:modified xsi:type="dcterms:W3CDTF">2024-12-24T07:02:57Z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D7FA783892394019802DE927CB7AEF48_13</vt:lpwstr>
  </property>
</Properties>
</file>