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F1948">
      <w:pPr>
        <w:widowControl/>
        <w:wordWrap w:val="0"/>
        <w:spacing w:line="600" w:lineRule="exact"/>
        <w:jc w:val="left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7B16902A">
      <w:pPr>
        <w:pStyle w:val="2"/>
        <w:spacing w:line="600" w:lineRule="exact"/>
        <w:rPr>
          <w:rFonts w:hint="eastAsia"/>
          <w:lang w:val="en-US" w:eastAsia="zh-CN"/>
        </w:rPr>
      </w:pPr>
    </w:p>
    <w:p w14:paraId="65B3F1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20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</w:rPr>
        <w:t>2</w:t>
      </w:r>
      <w:r>
        <w:rPr>
          <w:rFonts w:hint="eastAsia" w:eastAsia="文星简小标宋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Ansi="Times New Roman" w:eastAsia="文星简小标宋"/>
          <w:color w:val="000000"/>
          <w:kern w:val="0"/>
          <w:sz w:val="44"/>
          <w:szCs w:val="44"/>
        </w:rPr>
        <w:t>年天津市专业技术人员继续教育</w:t>
      </w:r>
    </w:p>
    <w:p w14:paraId="7A6A3C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公需科目指导目录</w:t>
      </w:r>
    </w:p>
    <w:p w14:paraId="0B30C7E6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5FABA6C0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一、</w:t>
      </w:r>
      <w:r>
        <w:rPr>
          <w:rFonts w:hAnsi="Times New Roman" w:eastAsia="黑体"/>
          <w:color w:val="000000"/>
          <w:kern w:val="0"/>
          <w:sz w:val="32"/>
          <w:szCs w:val="32"/>
        </w:rPr>
        <w:t>必修课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（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门）</w:t>
      </w:r>
    </w:p>
    <w:p w14:paraId="3AD00B56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（一）党的二十届三中全会暨《中共中央关于进一步全面深化改革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推进中国式现代化的决定》总体解读</w:t>
      </w:r>
    </w:p>
    <w:p w14:paraId="22FF5D06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（二）全面推动经济与民生领域改革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推动中国经济高质量发展</w:t>
      </w:r>
    </w:p>
    <w:p w14:paraId="3158BDB8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数字技术领域新职业</w:t>
      </w:r>
      <w:r>
        <w:rPr>
          <w:rFonts w:hint="default" w:hAnsi="Times New Roman" w:eastAsia="仿宋_GB2312"/>
          <w:color w:val="000000"/>
          <w:kern w:val="0"/>
          <w:sz w:val="32"/>
          <w:szCs w:val="32"/>
          <w:lang w:val="en" w:eastAsia="zh-CN"/>
        </w:rPr>
        <w:t>--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大数据应用驱动智能未来</w:t>
      </w:r>
    </w:p>
    <w:p w14:paraId="7DCAD052">
      <w:pPr>
        <w:widowControl/>
        <w:wordWrap w:val="0"/>
        <w:spacing w:line="600" w:lineRule="exact"/>
        <w:ind w:firstLine="640"/>
        <w:jc w:val="left"/>
        <w:rPr>
          <w:rFonts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二、</w:t>
      </w:r>
      <w:r>
        <w:rPr>
          <w:rFonts w:hAnsi="Times New Roman" w:eastAsia="黑体"/>
          <w:color w:val="000000"/>
          <w:kern w:val="0"/>
          <w:sz w:val="32"/>
          <w:szCs w:val="32"/>
        </w:rPr>
        <w:t>选修</w:t>
      </w:r>
      <w:r>
        <w:rPr>
          <w:rFonts w:hAnsi="Times New Roman" w:eastAsia="黑体"/>
          <w:color w:val="000000"/>
          <w:kern w:val="0"/>
          <w:sz w:val="32"/>
          <w:szCs w:val="32"/>
          <w:highlight w:val="none"/>
        </w:rPr>
        <w:t>课（</w:t>
      </w:r>
      <w:r>
        <w:rPr>
          <w:rFonts w:hint="eastAsia" w:eastAsia="黑体"/>
          <w:color w:val="000000"/>
          <w:kern w:val="0"/>
          <w:sz w:val="32"/>
          <w:szCs w:val="32"/>
          <w:highlight w:val="none"/>
          <w:lang w:val="en-US" w:eastAsia="zh-CN"/>
        </w:rPr>
        <w:t>42</w:t>
      </w:r>
      <w:r>
        <w:rPr>
          <w:rFonts w:hint="eastAsia" w:hAnsi="Times New Roman" w:eastAsia="黑体"/>
          <w:color w:val="000000"/>
          <w:kern w:val="0"/>
          <w:sz w:val="32"/>
          <w:szCs w:val="32"/>
          <w:highlight w:val="none"/>
        </w:rPr>
        <w:t>门</w:t>
      </w:r>
      <w:r>
        <w:rPr>
          <w:rFonts w:hAnsi="Times New Roman" w:eastAsia="黑体"/>
          <w:color w:val="000000"/>
          <w:kern w:val="0"/>
          <w:sz w:val="32"/>
          <w:szCs w:val="32"/>
          <w:highlight w:val="none"/>
        </w:rPr>
        <w:t>）</w:t>
      </w:r>
    </w:p>
    <w:p w14:paraId="03631221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（一）京津冀协同发展走深走实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12DA5772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京津冀协同发展助推中国式现代化</w:t>
      </w:r>
    </w:p>
    <w:p w14:paraId="63F8688A"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建设京津冀一流营商环境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构筑数字经济产业生态圈</w:t>
      </w:r>
    </w:p>
    <w:p w14:paraId="4837733C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大数据赋能京津冀协同发展</w:t>
      </w:r>
    </w:p>
    <w:p w14:paraId="1A17302A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（二）制造业高质量发展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  <w:lang w:eastAsia="zh-CN"/>
        </w:rPr>
        <w:t>动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门）</w:t>
      </w:r>
    </w:p>
    <w:p w14:paraId="563DA5CC">
      <w:pPr>
        <w:widowControl/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新质生产力的培育与现代化产业体系建设</w:t>
      </w:r>
    </w:p>
    <w:p w14:paraId="64387DBB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智能制造与企业转型</w:t>
      </w:r>
    </w:p>
    <w:p w14:paraId="59EC1A3F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知识产权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保护与管理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</w:t>
      </w:r>
    </w:p>
    <w:p w14:paraId="06CAC84D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全面质量管理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与标准化作业</w:t>
      </w:r>
    </w:p>
    <w:p w14:paraId="496538F7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生物技术驱动生物制造创造未来</w:t>
      </w:r>
    </w:p>
    <w:p w14:paraId="12850EA2">
      <w:pPr>
        <w:pStyle w:val="2"/>
        <w:spacing w:line="600" w:lineRule="exact"/>
        <w:ind w:firstLine="640" w:firstLineChars="200"/>
        <w:jc w:val="both"/>
        <w:rPr>
          <w:rFonts w:hint="default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大数据赋能企业安全生产预警</w:t>
      </w:r>
    </w:p>
    <w:p w14:paraId="5AAA76A5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（三）科教兴市人才强市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6D1052DE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深化科技体制改革</w:t>
      </w:r>
    </w:p>
    <w:p w14:paraId="18FE4D7B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科技成果转化与应用</w:t>
      </w:r>
    </w:p>
    <w:p w14:paraId="36588C8D">
      <w:pPr>
        <w:widowControl/>
        <w:wordWrap w:val="0"/>
        <w:spacing w:line="600" w:lineRule="exact"/>
        <w:ind w:firstLine="640"/>
        <w:jc w:val="left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人才自主创新能力提升 </w:t>
      </w:r>
    </w:p>
    <w:p w14:paraId="438A894D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数字经济技术技能人才培育</w:t>
      </w:r>
    </w:p>
    <w:p w14:paraId="3A7AC875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（四）港产城融合发展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1C0BDABA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港口建设</w:t>
      </w:r>
    </w:p>
    <w:p w14:paraId="16619DD9">
      <w:pPr>
        <w:widowControl/>
        <w:wordWrap w:val="0"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  <w:lang w:eastAsia="zh-CN"/>
        </w:rPr>
        <w:t>交通与产业融合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发展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32B0DC31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物流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管理</w:t>
      </w:r>
    </w:p>
    <w:p w14:paraId="7B595585">
      <w:pPr>
        <w:widowControl/>
        <w:numPr>
          <w:ilvl w:val="0"/>
          <w:numId w:val="0"/>
        </w:numPr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消防安全与应急管理</w:t>
      </w:r>
    </w:p>
    <w:p w14:paraId="638E39A7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（五）滨海新区高质量发展支撑引领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 w14:paraId="328B9B37"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民营经济推动区域经济高质量发展</w:t>
      </w:r>
    </w:p>
    <w:p w14:paraId="78B9CDFD"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数字变革创新</w:t>
      </w:r>
    </w:p>
    <w:p w14:paraId="2284A96D"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金融高质量发展</w:t>
      </w:r>
    </w:p>
    <w:p w14:paraId="2990BDFA"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低空经济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发展现状与未来趋势</w:t>
      </w:r>
    </w:p>
    <w:p w14:paraId="2F5F9658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（六）中心城区更新提升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 w14:paraId="45CE60B9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大数据与城市规划</w:t>
      </w:r>
    </w:p>
    <w:p w14:paraId="6DAA7763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绿色城市发展与开放空间体系构建</w:t>
      </w:r>
    </w:p>
    <w:p w14:paraId="29E526B6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公共文化服务体系建设</w:t>
      </w:r>
    </w:p>
    <w:p w14:paraId="2FA921FB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文旅融合发展</w:t>
      </w:r>
    </w:p>
    <w:p w14:paraId="4F928E9C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（七）乡村振兴全面推进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 w14:paraId="65AEB80E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乡村振兴与数字技术赋能农业现代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化</w:t>
      </w:r>
    </w:p>
    <w:p w14:paraId="1A382878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大数据助力乡村振兴的产业升级</w:t>
      </w:r>
    </w:p>
    <w:p w14:paraId="4EE57261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新一代信息技术与数字乡村建设</w:t>
      </w:r>
    </w:p>
    <w:p w14:paraId="29143A9A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推动“四好农村路”高质量发展</w:t>
      </w:r>
    </w:p>
    <w:p w14:paraId="042CFB5A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（八）绿色低碳发展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5A872A89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深化生态文明体制改革</w:t>
      </w:r>
    </w:p>
    <w:p w14:paraId="184B8F93"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新质生产力与数字生态文明建设</w:t>
      </w:r>
    </w:p>
    <w:p w14:paraId="3484FF96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低碳发展与绿色建筑</w:t>
      </w:r>
    </w:p>
    <w:p w14:paraId="32EC1CF4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（九）高品质生活创造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>门）</w:t>
      </w:r>
    </w:p>
    <w:p w14:paraId="4D334C51">
      <w:pPr>
        <w:spacing w:line="600" w:lineRule="exact"/>
        <w:ind w:firstLine="641"/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学习和运用习近平文化思想</w:t>
      </w:r>
    </w:p>
    <w:p w14:paraId="4A99870F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食品安全及应急处理</w:t>
      </w:r>
    </w:p>
    <w:p w14:paraId="355505F0"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医疗卫生与疾病防控</w:t>
      </w:r>
    </w:p>
    <w:p w14:paraId="7EF206B0"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国产软件应用</w:t>
      </w:r>
    </w:p>
    <w:p w14:paraId="3D70295E">
      <w:pPr>
        <w:spacing w:line="600" w:lineRule="exact"/>
        <w:ind w:firstLine="641"/>
        <w:rPr>
          <w:rFonts w:hint="default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档案法治建设与科学管理</w:t>
      </w:r>
    </w:p>
    <w:p w14:paraId="35C68209">
      <w:pPr>
        <w:spacing w:line="600" w:lineRule="exact"/>
        <w:ind w:firstLine="641"/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中国传统文化与人生智慧</w:t>
      </w:r>
    </w:p>
    <w:p w14:paraId="7D4A5FBD"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（十）党建引领基层治理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 w14:paraId="78A35966">
      <w:pPr>
        <w:spacing w:line="600" w:lineRule="exact"/>
        <w:ind w:firstLine="641"/>
        <w:rPr>
          <w:rFonts w:hint="eastAsia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楷体_GB2312"/>
          <w:color w:val="auto"/>
          <w:kern w:val="0"/>
          <w:sz w:val="32"/>
          <w:szCs w:val="32"/>
        </w:rPr>
        <w:t>1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习近平总书记关于党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设的重要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思想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解读</w:t>
      </w:r>
    </w:p>
    <w:p w14:paraId="131F7B6C">
      <w:pPr>
        <w:spacing w:line="600" w:lineRule="exact"/>
        <w:ind w:firstLine="641"/>
        <w:rPr>
          <w:rFonts w:hint="eastAsia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auto"/>
          <w:kern w:val="0"/>
          <w:sz w:val="32"/>
          <w:szCs w:val="32"/>
        </w:rPr>
        <w:t>2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大力加强政德建设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auto"/>
          <w:kern w:val="0"/>
          <w:sz w:val="32"/>
          <w:szCs w:val="32"/>
        </w:rPr>
        <w:t>培养造就高素质干部队伍</w:t>
      </w:r>
    </w:p>
    <w:p w14:paraId="13756FC9"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做好新时代思想政治工作的方式方法</w:t>
      </w:r>
    </w:p>
    <w:p w14:paraId="3E95CAA5"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楷体_GB2312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完善社会治理体系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提升社会治理效能</w:t>
      </w:r>
    </w:p>
    <w:p w14:paraId="60C31BBC">
      <w:pPr>
        <w:rPr>
          <w:rFonts w:hint="eastAsia" w:ascii="Times New Roman" w:eastAsia="仿宋_GB2312"/>
          <w:sz w:val="32"/>
        </w:rPr>
      </w:pPr>
    </w:p>
    <w:p w14:paraId="55A0BFA4">
      <w:pPr>
        <w:rPr>
          <w:rFonts w:hint="eastAsia"/>
        </w:rPr>
      </w:pPr>
    </w:p>
    <w:sectPr>
      <w:footerReference r:id="rId3" w:type="default"/>
      <w:pgSz w:w="11906" w:h="16838"/>
      <w:pgMar w:top="1361" w:right="1587" w:bottom="124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25B54-1003-4423-A571-BB401B3C9A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ACFC77-1F80-439E-B7D8-B636765FFEB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4A22CD-F911-4B14-8CBA-9CF24EB18069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D48F01A-0184-4157-8E95-EA2B1233AE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C0C26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16A1AB5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6102CDB"/>
    <w:rsid w:val="4BDA34F8"/>
    <w:rsid w:val="57E762E1"/>
    <w:rsid w:val="627E0125"/>
    <w:rsid w:val="6A7B6CF6"/>
    <w:rsid w:val="6CFC5AC7"/>
    <w:rsid w:val="77F7B17D"/>
    <w:rsid w:val="7E99D142"/>
    <w:rsid w:val="7F5F354E"/>
    <w:rsid w:val="7F7F3E7A"/>
    <w:rsid w:val="B4B76522"/>
    <w:rsid w:val="BEBF5E2E"/>
    <w:rsid w:val="E7FE7996"/>
    <w:rsid w:val="F3FFFBC8"/>
    <w:rsid w:val="FDB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1984</Words>
  <Characters>2077</Characters>
  <Lines>1</Lines>
  <Paragraphs>1</Paragraphs>
  <TotalTime>2</TotalTime>
  <ScaleCrop>false</ScaleCrop>
  <LinksUpToDate>false</LinksUpToDate>
  <CharactersWithSpaces>2120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Yan</cp:lastModifiedBy>
  <cp:lastPrinted>2005-02-20T15:04:00Z</cp:lastPrinted>
  <dcterms:modified xsi:type="dcterms:W3CDTF">2025-01-13T08:41:00Z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eyJoZGlkIjoiYzA2Zjg1M2UzNzA3NDhiMTI3MTJmMDBmNzZjODczMDgiLCJ1c2VySWQiOiI4MzQwNTM4NDcifQ==</vt:lpwstr>
  </property>
  <property fmtid="{D5CDD505-2E9C-101B-9397-08002B2CF9AE}" pid="4" name="ICV">
    <vt:lpwstr>E847E6F6DF814AFFAFB44BB743DCC39F_13</vt:lpwstr>
  </property>
</Properties>
</file>