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73B05">
      <w:pPr>
        <w:pStyle w:val="2"/>
        <w:adjustRightInd w:val="0"/>
        <w:spacing w:line="600" w:lineRule="exact"/>
        <w:rPr>
          <w:rFonts w:hint="default" w:ascii="Times New Roman" w:hAnsi="Times New Roman" w:eastAsia="方正小标宋简体" w:cs="Times New Roman"/>
          <w:b w:val="0"/>
          <w:bCs/>
          <w:color w:val="auto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Cs w:val="44"/>
        </w:rPr>
        <w:t>市人社局关于202</w:t>
      </w:r>
      <w:r>
        <w:rPr>
          <w:rFonts w:hint="eastAsia" w:eastAsia="方正小标宋简体" w:cs="Times New Roman"/>
          <w:b w:val="0"/>
          <w:bCs/>
          <w:color w:val="auto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Cs w:val="44"/>
        </w:rPr>
        <w:t>年专业技术人员继续教育</w:t>
      </w:r>
    </w:p>
    <w:p w14:paraId="500ABD21">
      <w:pPr>
        <w:pStyle w:val="2"/>
        <w:adjustRightInd w:val="0"/>
        <w:spacing w:line="600" w:lineRule="exact"/>
        <w:rPr>
          <w:rFonts w:hint="default" w:ascii="Times New Roman" w:hAnsi="Times New Roman" w:eastAsia="方正小标宋简体" w:cs="Times New Roman"/>
          <w:b w:val="0"/>
          <w:bCs/>
          <w:color w:val="auto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Cs w:val="44"/>
        </w:rPr>
        <w:t>公需科目学习有关事项的通知</w:t>
      </w:r>
    </w:p>
    <w:p w14:paraId="5E7A2F46">
      <w:pPr>
        <w:pStyle w:val="2"/>
        <w:spacing w:line="600" w:lineRule="exact"/>
        <w:rPr>
          <w:rFonts w:hint="eastAsia" w:ascii="Times New Roman" w:hAnsi="Times New Roman" w:eastAsia="文星简小标宋"/>
          <w:sz w:val="32"/>
          <w:szCs w:val="32"/>
        </w:rPr>
      </w:pPr>
    </w:p>
    <w:p w14:paraId="379B7538">
      <w:pPr>
        <w:adjustRightInd w:val="0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各区人力资源和社会保障局，各委办局（集团公司）、人民团体、大专院校人力资源（教育）部门，有关单位：</w:t>
      </w:r>
    </w:p>
    <w:p w14:paraId="426CCFA3">
      <w:pPr>
        <w:spacing w:line="600" w:lineRule="exact"/>
        <w:ind w:right="-42" w:rightChars="-2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贯彻党的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二十届三中全会精神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进一步提升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我市专业技术人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综合素质，</w:t>
      </w:r>
      <w:r>
        <w:rPr>
          <w:rFonts w:hint="eastAsia" w:ascii="Times New Roman" w:eastAsia="仿宋_GB2312"/>
          <w:sz w:val="32"/>
          <w:szCs w:val="32"/>
        </w:rPr>
        <w:t>聚焦服务</w:t>
      </w:r>
      <w:r>
        <w:rPr>
          <w:rFonts w:hint="eastAsia" w:eastAsia="仿宋_GB2312"/>
          <w:sz w:val="32"/>
          <w:szCs w:val="32"/>
          <w:lang w:eastAsia="zh-CN"/>
        </w:rPr>
        <w:t>市委市政府</w:t>
      </w:r>
      <w:r>
        <w:rPr>
          <w:rFonts w:hint="eastAsia" w:ascii="Times New Roman" w:eastAsia="仿宋_GB2312"/>
          <w:sz w:val="32"/>
          <w:szCs w:val="32"/>
          <w:lang w:eastAsia="zh-CN"/>
        </w:rPr>
        <w:t>“</w:t>
      </w:r>
      <w:r>
        <w:rPr>
          <w:rFonts w:hint="eastAsia" w:ascii="Times New Roman" w:eastAsia="仿宋_GB2312"/>
          <w:sz w:val="32"/>
          <w:szCs w:val="32"/>
        </w:rPr>
        <w:t>十项行动</w:t>
      </w:r>
      <w:r>
        <w:rPr>
          <w:rFonts w:hint="eastAsia" w:ascii="Times New Roman" w:eastAsia="仿宋_GB2312"/>
          <w:sz w:val="32"/>
          <w:szCs w:val="32"/>
          <w:lang w:eastAsia="zh-CN"/>
        </w:rPr>
        <w:t>”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我市继续教育有关规定及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《市人社局关于落实专业技术人才知识更新工程重点任务的通知》（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津人社办函〔202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>620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广泛征集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论证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，并征求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专业技术人才知识更新工程指导协调小组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成员单位意见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市人社局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确定了我市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年专业技术人员继续教育公需科目（以下简称公需科目）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现就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有关事项通知如下：</w:t>
      </w:r>
    </w:p>
    <w:p w14:paraId="7A37B4C4"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参加人员</w:t>
      </w:r>
    </w:p>
    <w:p w14:paraId="7CFFAF3F"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全市各类企事业单位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（含驻津）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及社会团体等组织中在职的专业技术人员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从事专业技术工作的自由职业者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、新就业形态劳动者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5DF6CCDC"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二、时间安排</w:t>
      </w:r>
    </w:p>
    <w:p w14:paraId="63BFD546"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公需科目学习时间为202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年全年。</w:t>
      </w:r>
    </w:p>
    <w:p w14:paraId="4E862FA0"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、学时规定</w:t>
      </w:r>
    </w:p>
    <w:p w14:paraId="72A4DFB5"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专业技术人员全年需完成公需科目32学时，其中，必修课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选修课2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学时。</w:t>
      </w:r>
    </w:p>
    <w:p w14:paraId="595028AF"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、学习内容和方式</w:t>
      </w:r>
      <w:bookmarkStart w:id="0" w:name="_GoBack"/>
      <w:bookmarkEnd w:id="0"/>
    </w:p>
    <w:p w14:paraId="2A006B1A"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必修课为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门，选修课为京津冀协同发展走深走实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、制造业高质量发展、科教兴市人才强市、港产城融合发展、滨海新区高质量发展支撑引领、中心城区更新提升、乡村振兴全面推进、绿色低碳发展、高品质生活创造、党建引领基层治理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类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门，详见《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年天津市专业技术人员继续教育公需科目指导目录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</w:p>
    <w:p w14:paraId="255E6A47">
      <w:pPr>
        <w:adjustRightInd w:val="0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必修课可登录天津市专业技术人员继续教育网（网址：http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://tjjxjy.chinahrt.com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，以下简称继续教育网）进行免费学习，考核合格后取得相应学时；选修课可在继续教育网自主选课开展学习，也可参加由本区、本系统或本单位组织的符合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选修课范围的课程。</w:t>
      </w:r>
    </w:p>
    <w:p w14:paraId="0071751E"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五、有关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事宜</w:t>
      </w:r>
    </w:p>
    <w:p w14:paraId="1D99D69B"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公需科目学习是专业技术人员继续教育的重要内容。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专业技术人员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继续教育学习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方面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足额完成公需科目学时的，视为不符合继续教育学习要求。专业技术人员完成公需科目学习后，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应按规定及时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学时登记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详见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天津市专业技术人员继续教育学时年度登记表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在职称申报时作为佐证材料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0125E14A"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未完成20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年至20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继续教育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公需科目学习任务的专业技术人员，202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年仍可通过继续教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育网“补学窗口”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学习，完成学习任务并经考核合格后，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计入补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学年份公需科目学时，从继续教育网打印培训合格证书。</w:t>
      </w:r>
    </w:p>
    <w:p w14:paraId="22C4561B"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）公需科目培训相关费用，可按国家有关规定从单位职工教育培训经费中列支。</w:t>
      </w:r>
    </w:p>
    <w:p w14:paraId="1D8FAD11"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本通知自印发之日起施行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2025年1月1日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之前已选但未修完的课程不结转计入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年度公需科目学时。</w:t>
      </w:r>
    </w:p>
    <w:p w14:paraId="0E0C8DA3"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79B82453"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系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市人社局专业技术人员管理处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 xml:space="preserve">  闵瑞琛</w:t>
      </w:r>
      <w:r>
        <w:rPr>
          <w:rFonts w:hint="eastAsia" w:eastAsia="仿宋_GB2312" w:cs="Times New Roman"/>
          <w:color w:val="auto"/>
          <w:spacing w:val="-11"/>
          <w:sz w:val="32"/>
          <w:szCs w:val="32"/>
          <w:lang w:val="en" w:eastAsia="zh-CN"/>
        </w:rPr>
        <w:t>、</w:t>
      </w:r>
      <w:r>
        <w:rPr>
          <w:rFonts w:hint="eastAsia" w:eastAsia="仿宋_GB2312" w:cs="Times New Roman"/>
          <w:color w:val="auto"/>
          <w:spacing w:val="-11"/>
          <w:sz w:val="32"/>
          <w:szCs w:val="32"/>
          <w:lang w:val="en-US" w:eastAsia="zh-CN"/>
        </w:rPr>
        <w:t>赵文清</w:t>
      </w:r>
    </w:p>
    <w:p w14:paraId="722E7822">
      <w:pPr>
        <w:pStyle w:val="7"/>
        <w:spacing w:line="600" w:lineRule="exact"/>
        <w:jc w:val="both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联系电话：83218426、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8321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8401</w:t>
      </w:r>
    </w:p>
    <w:p w14:paraId="1FD0B41F"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4E03597F">
      <w:pPr>
        <w:adjustRightInd w:val="0"/>
        <w:spacing w:line="600" w:lineRule="exact"/>
        <w:ind w:left="1560" w:hanging="922"/>
        <w:jc w:val="both"/>
        <w:rPr>
          <w:rFonts w:hint="default" w:eastAsia="仿宋_GB2312" w:cs="Times New Roman"/>
          <w:color w:val="auto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附件：</w:t>
      </w:r>
      <w:r>
        <w:rPr>
          <w:rFonts w:hint="default" w:eastAsia="仿宋_GB2312" w:cs="Times New Roman"/>
          <w:color w:val="auto"/>
          <w:sz w:val="32"/>
          <w:szCs w:val="32"/>
          <w:lang w:val="e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eastAsia="仿宋_GB2312" w:cs="Times New Roman"/>
          <w:color w:val="auto"/>
          <w:sz w:val="32"/>
          <w:szCs w:val="32"/>
          <w:lang w:val="e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eastAsia="仿宋_GB2312" w:cs="Times New Roman"/>
          <w:color w:val="auto"/>
          <w:sz w:val="32"/>
          <w:szCs w:val="32"/>
          <w:lang w:val="en"/>
        </w:rPr>
        <w:t>年天津市专业技术人员继续教育公需科目</w:t>
      </w:r>
    </w:p>
    <w:p w14:paraId="6DCF7725">
      <w:pPr>
        <w:adjustRightInd w:val="0"/>
        <w:spacing w:line="600" w:lineRule="exact"/>
        <w:ind w:left="1560" w:hanging="922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 xml:space="preserve"> </w:t>
      </w:r>
      <w:r>
        <w:rPr>
          <w:rFonts w:hint="default" w:eastAsia="仿宋_GB2312" w:cs="Times New Roman"/>
          <w:color w:val="auto"/>
          <w:sz w:val="32"/>
          <w:szCs w:val="32"/>
          <w:lang w:val="en"/>
        </w:rPr>
        <w:t>指导目录</w:t>
      </w:r>
    </w:p>
    <w:p w14:paraId="632BAC96">
      <w:pPr>
        <w:numPr>
          <w:ilvl w:val="0"/>
          <w:numId w:val="0"/>
        </w:numPr>
        <w:adjustRightInd w:val="0"/>
        <w:spacing w:line="600" w:lineRule="exact"/>
        <w:ind w:left="0" w:leftChars="0" w:firstLine="1600" w:firstLineChars="5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天津市专业技术人员继续教育学时年度登记表</w:t>
      </w:r>
    </w:p>
    <w:p w14:paraId="705B962A"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E75D228">
      <w:pPr>
        <w:pStyle w:val="7"/>
        <w:spacing w:line="600" w:lineRule="exact"/>
        <w:rPr>
          <w:rFonts w:hint="default" w:ascii="Times New Roman" w:hAnsi="Times New Roman"/>
        </w:rPr>
      </w:pPr>
    </w:p>
    <w:p w14:paraId="4CD138AF">
      <w:pPr>
        <w:spacing w:line="600" w:lineRule="exact"/>
        <w:ind w:firstLine="5018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70657CF">
      <w:pPr>
        <w:spacing w:line="600" w:lineRule="exact"/>
        <w:ind w:firstLine="4160" w:firstLineChars="13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eastAsia="仿宋_GB2312" w:cs="Times New Roman"/>
          <w:color w:val="auto"/>
          <w:sz w:val="32"/>
          <w:szCs w:val="32"/>
          <w:lang w:val="e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41CF30E2">
      <w:pPr>
        <w:pStyle w:val="2"/>
        <w:adjustRightInd w:val="0"/>
        <w:spacing w:line="600" w:lineRule="exact"/>
        <w:jc w:val="both"/>
        <w:rPr>
          <w:rFonts w:hint="default" w:ascii="Times New Roman" w:hAnsi="Times New Roman" w:eastAsia="文星简小标宋" w:cs="Times New Roman"/>
          <w:b w:val="0"/>
          <w:bCs/>
          <w:color w:val="auto"/>
          <w:szCs w:val="44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（此件主动公开）</w:t>
      </w:r>
    </w:p>
    <w:p w14:paraId="7D524DED">
      <w:pPr>
        <w:spacing w:line="600" w:lineRule="exact"/>
      </w:pPr>
      <w:r>
        <w:br w:type="page"/>
      </w:r>
    </w:p>
    <w:p w14:paraId="7ADF1948">
      <w:pPr>
        <w:widowControl/>
        <w:wordWrap w:val="0"/>
        <w:spacing w:line="600" w:lineRule="exact"/>
        <w:jc w:val="left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 w14:paraId="7B16902A">
      <w:pPr>
        <w:pStyle w:val="2"/>
        <w:spacing w:line="600" w:lineRule="exact"/>
        <w:rPr>
          <w:rFonts w:hint="eastAsia"/>
          <w:lang w:val="en-US" w:eastAsia="zh-CN"/>
        </w:rPr>
      </w:pPr>
    </w:p>
    <w:p w14:paraId="65B3F1C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Ansi="Times New Roman" w:eastAsia="文星简小标宋"/>
          <w:color w:val="000000"/>
          <w:kern w:val="0"/>
          <w:sz w:val="44"/>
          <w:szCs w:val="44"/>
        </w:rPr>
      </w:pPr>
      <w:r>
        <w:rPr>
          <w:rFonts w:hAnsi="Times New Roman" w:eastAsia="文星简小标宋"/>
          <w:color w:val="000000"/>
          <w:kern w:val="0"/>
          <w:sz w:val="44"/>
          <w:szCs w:val="44"/>
        </w:rPr>
        <w:t>20</w:t>
      </w:r>
      <w:r>
        <w:rPr>
          <w:rFonts w:hint="eastAsia" w:hAnsi="Times New Roman" w:eastAsia="文星简小标宋"/>
          <w:color w:val="000000"/>
          <w:kern w:val="0"/>
          <w:sz w:val="44"/>
          <w:szCs w:val="44"/>
        </w:rPr>
        <w:t>2</w:t>
      </w:r>
      <w:r>
        <w:rPr>
          <w:rFonts w:hint="eastAsia" w:eastAsia="文星简小标宋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Ansi="Times New Roman" w:eastAsia="文星简小标宋"/>
          <w:color w:val="000000"/>
          <w:kern w:val="0"/>
          <w:sz w:val="44"/>
          <w:szCs w:val="44"/>
        </w:rPr>
        <w:t>年天津市专业技术人员继续教育</w:t>
      </w:r>
    </w:p>
    <w:p w14:paraId="7A6A3CA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Ansi="Times New Roman" w:eastAsia="文星简小标宋"/>
          <w:color w:val="000000"/>
          <w:kern w:val="0"/>
          <w:sz w:val="44"/>
          <w:szCs w:val="44"/>
        </w:rPr>
      </w:pPr>
      <w:r>
        <w:rPr>
          <w:rFonts w:hAnsi="Times New Roman" w:eastAsia="文星简小标宋"/>
          <w:color w:val="000000"/>
          <w:kern w:val="0"/>
          <w:sz w:val="44"/>
          <w:szCs w:val="44"/>
        </w:rPr>
        <w:t>公需科目指导目录</w:t>
      </w:r>
    </w:p>
    <w:p w14:paraId="0B30C7E6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黑体"/>
          <w:color w:val="000000"/>
          <w:kern w:val="0"/>
          <w:sz w:val="32"/>
          <w:szCs w:val="32"/>
        </w:rPr>
      </w:pPr>
    </w:p>
    <w:p w14:paraId="5FABA6C0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黑体"/>
          <w:color w:val="000000"/>
          <w:kern w:val="0"/>
          <w:sz w:val="32"/>
          <w:szCs w:val="32"/>
        </w:rPr>
      </w:pPr>
      <w:r>
        <w:rPr>
          <w:rFonts w:hint="eastAsia" w:hAnsi="Times New Roman" w:eastAsia="黑体"/>
          <w:color w:val="000000"/>
          <w:kern w:val="0"/>
          <w:sz w:val="32"/>
          <w:szCs w:val="32"/>
        </w:rPr>
        <w:t>一、</w:t>
      </w:r>
      <w:r>
        <w:rPr>
          <w:rFonts w:hAnsi="Times New Roman" w:eastAsia="黑体"/>
          <w:color w:val="000000"/>
          <w:kern w:val="0"/>
          <w:sz w:val="32"/>
          <w:szCs w:val="32"/>
        </w:rPr>
        <w:t>必修课</w:t>
      </w:r>
      <w:r>
        <w:rPr>
          <w:rFonts w:hint="eastAsia" w:hAnsi="Times New Roman" w:eastAsia="黑体"/>
          <w:color w:val="000000"/>
          <w:kern w:val="0"/>
          <w:sz w:val="32"/>
          <w:szCs w:val="32"/>
        </w:rPr>
        <w:t>（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hAnsi="Times New Roman" w:eastAsia="黑体"/>
          <w:color w:val="000000"/>
          <w:kern w:val="0"/>
          <w:sz w:val="32"/>
          <w:szCs w:val="32"/>
        </w:rPr>
        <w:t>门）</w:t>
      </w:r>
    </w:p>
    <w:p w14:paraId="3AD00B56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（一）党的二十届三中全会暨《中共中央关于进一步全面深化改革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推进中国式现代化的决定》总体解读</w:t>
      </w:r>
    </w:p>
    <w:p w14:paraId="22FF5D06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（二）全面推动经济与民生领域改革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推动中国经济高质量发展</w:t>
      </w:r>
    </w:p>
    <w:p w14:paraId="3158BDB8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（三）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数字技术领域新职业</w:t>
      </w:r>
      <w:r>
        <w:rPr>
          <w:rFonts w:hint="default" w:hAnsi="Times New Roman" w:eastAsia="仿宋_GB2312"/>
          <w:color w:val="000000"/>
          <w:kern w:val="0"/>
          <w:sz w:val="32"/>
          <w:szCs w:val="32"/>
          <w:lang w:val="en" w:eastAsia="zh-CN"/>
        </w:rPr>
        <w:t>--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大数据应用驱动智能未来</w:t>
      </w:r>
    </w:p>
    <w:p w14:paraId="7DCAD052">
      <w:pPr>
        <w:widowControl/>
        <w:wordWrap w:val="0"/>
        <w:spacing w:line="600" w:lineRule="exact"/>
        <w:ind w:firstLine="640"/>
        <w:jc w:val="left"/>
        <w:rPr>
          <w:rFonts w:hAnsi="Times New Roman" w:eastAsia="黑体"/>
          <w:color w:val="000000"/>
          <w:kern w:val="0"/>
          <w:sz w:val="32"/>
          <w:szCs w:val="32"/>
        </w:rPr>
      </w:pPr>
      <w:r>
        <w:rPr>
          <w:rFonts w:hint="eastAsia" w:hAnsi="Times New Roman" w:eastAsia="黑体"/>
          <w:color w:val="000000"/>
          <w:kern w:val="0"/>
          <w:sz w:val="32"/>
          <w:szCs w:val="32"/>
        </w:rPr>
        <w:t>二、</w:t>
      </w:r>
      <w:r>
        <w:rPr>
          <w:rFonts w:hAnsi="Times New Roman" w:eastAsia="黑体"/>
          <w:color w:val="000000"/>
          <w:kern w:val="0"/>
          <w:sz w:val="32"/>
          <w:szCs w:val="32"/>
        </w:rPr>
        <w:t>选修</w:t>
      </w:r>
      <w:r>
        <w:rPr>
          <w:rFonts w:hAnsi="Times New Roman" w:eastAsia="黑体"/>
          <w:color w:val="000000"/>
          <w:kern w:val="0"/>
          <w:sz w:val="32"/>
          <w:szCs w:val="32"/>
          <w:highlight w:val="none"/>
        </w:rPr>
        <w:t>课（</w:t>
      </w:r>
      <w:r>
        <w:rPr>
          <w:rFonts w:hint="eastAsia" w:eastAsia="黑体"/>
          <w:color w:val="000000"/>
          <w:kern w:val="0"/>
          <w:sz w:val="32"/>
          <w:szCs w:val="32"/>
          <w:highlight w:val="none"/>
          <w:lang w:val="en-US" w:eastAsia="zh-CN"/>
        </w:rPr>
        <w:t>42</w:t>
      </w:r>
      <w:r>
        <w:rPr>
          <w:rFonts w:hint="eastAsia" w:hAnsi="Times New Roman" w:eastAsia="黑体"/>
          <w:color w:val="000000"/>
          <w:kern w:val="0"/>
          <w:sz w:val="32"/>
          <w:szCs w:val="32"/>
          <w:highlight w:val="none"/>
        </w:rPr>
        <w:t>门</w:t>
      </w:r>
      <w:r>
        <w:rPr>
          <w:rFonts w:hAnsi="Times New Roman" w:eastAsia="黑体"/>
          <w:color w:val="000000"/>
          <w:kern w:val="0"/>
          <w:sz w:val="32"/>
          <w:szCs w:val="32"/>
          <w:highlight w:val="none"/>
        </w:rPr>
        <w:t>）</w:t>
      </w:r>
    </w:p>
    <w:p w14:paraId="03631221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（一）京津冀协同发展走深走实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 w14:paraId="12DA5772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京津冀协同发展助推中国式现代化</w:t>
      </w:r>
    </w:p>
    <w:p w14:paraId="63F8688A">
      <w:pPr>
        <w:widowControl/>
        <w:wordWrap w:val="0"/>
        <w:spacing w:line="600" w:lineRule="exact"/>
        <w:ind w:firstLine="640"/>
        <w:jc w:val="left"/>
        <w:rPr>
          <w:rFonts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建设京津冀一流营商环境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构筑数字经济产业生态圈</w:t>
      </w:r>
    </w:p>
    <w:p w14:paraId="4837733C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大数据赋能京津冀协同发展</w:t>
      </w:r>
    </w:p>
    <w:p w14:paraId="1A17302A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（二）制造业高质量发展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  <w:lang w:eastAsia="zh-CN"/>
        </w:rPr>
        <w:t>动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eastAsia="楷体_GB2312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</w:rPr>
        <w:t>门）</w:t>
      </w:r>
    </w:p>
    <w:p w14:paraId="563DA5CC">
      <w:pPr>
        <w:widowControl/>
        <w:wordWrap w:val="0"/>
        <w:spacing w:line="600" w:lineRule="exact"/>
        <w:ind w:firstLine="640" w:firstLineChars="20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新质生产力的培育与现代化产业体系建设</w:t>
      </w:r>
    </w:p>
    <w:p w14:paraId="64387DBB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智能制造与企业转型</w:t>
      </w:r>
    </w:p>
    <w:p w14:paraId="59EC1A3F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知识产权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保护与管理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 xml:space="preserve"> </w:t>
      </w:r>
    </w:p>
    <w:p w14:paraId="06CAC84D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全面质量管理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与标准化作业</w:t>
      </w:r>
    </w:p>
    <w:p w14:paraId="496538F7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生物技术驱动生物制造创造未来</w:t>
      </w:r>
    </w:p>
    <w:p w14:paraId="12850EA2">
      <w:pPr>
        <w:pStyle w:val="2"/>
        <w:spacing w:line="600" w:lineRule="exact"/>
        <w:ind w:firstLine="640" w:firstLineChars="200"/>
        <w:jc w:val="both"/>
        <w:rPr>
          <w:rFonts w:hint="default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大数据赋能企业安全生产预警</w:t>
      </w:r>
    </w:p>
    <w:p w14:paraId="5AAA76A5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（三）科教兴市人才强市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 w14:paraId="6D1052DE">
      <w:pPr>
        <w:widowControl/>
        <w:wordWrap w:val="0"/>
        <w:spacing w:line="600" w:lineRule="exact"/>
        <w:ind w:firstLine="640"/>
        <w:jc w:val="left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深化科技体制改革</w:t>
      </w:r>
    </w:p>
    <w:p w14:paraId="18FE4D7B">
      <w:pPr>
        <w:widowControl/>
        <w:wordWrap w:val="0"/>
        <w:spacing w:line="600" w:lineRule="exact"/>
        <w:ind w:firstLine="640"/>
        <w:jc w:val="left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科技成果转化与应用</w:t>
      </w:r>
    </w:p>
    <w:p w14:paraId="36588C8D">
      <w:pPr>
        <w:widowControl/>
        <w:wordWrap w:val="0"/>
        <w:spacing w:line="600" w:lineRule="exact"/>
        <w:ind w:firstLine="640"/>
        <w:jc w:val="left"/>
        <w:rPr>
          <w:rFonts w:hint="default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人才自主创新能力提升 </w:t>
      </w:r>
    </w:p>
    <w:p w14:paraId="438A894D">
      <w:pPr>
        <w:widowControl/>
        <w:wordWrap w:val="0"/>
        <w:spacing w:line="600" w:lineRule="exact"/>
        <w:ind w:firstLine="640"/>
        <w:jc w:val="left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数字经济技术技能人才培育</w:t>
      </w:r>
    </w:p>
    <w:p w14:paraId="3A7AC875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（四）港产城融合发展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 w14:paraId="1C0BDABA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港口建设</w:t>
      </w:r>
    </w:p>
    <w:p w14:paraId="16619DD9">
      <w:pPr>
        <w:widowControl/>
        <w:wordWrap w:val="0"/>
        <w:spacing w:line="600" w:lineRule="exact"/>
        <w:ind w:firstLine="64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hAnsi="Times New Roman" w:eastAsia="仿宋_GB2312"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auto"/>
          <w:kern w:val="0"/>
          <w:sz w:val="32"/>
          <w:szCs w:val="32"/>
          <w:lang w:eastAsia="zh-CN"/>
        </w:rPr>
        <w:t>交通与产业融合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发展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</w:t>
      </w:r>
    </w:p>
    <w:p w14:paraId="32B0DC31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物流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管理</w:t>
      </w:r>
    </w:p>
    <w:p w14:paraId="7B595585">
      <w:pPr>
        <w:widowControl/>
        <w:numPr>
          <w:ilvl w:val="0"/>
          <w:numId w:val="0"/>
        </w:numPr>
        <w:wordWrap w:val="0"/>
        <w:spacing w:line="600" w:lineRule="exact"/>
        <w:ind w:firstLine="640" w:firstLineChars="20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消防安全与应急管理</w:t>
      </w:r>
    </w:p>
    <w:p w14:paraId="638E39A7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（五）滨海新区高质量发展支撑引领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（4门）</w:t>
      </w:r>
    </w:p>
    <w:p w14:paraId="328B9B37">
      <w:pPr>
        <w:spacing w:line="600" w:lineRule="exact"/>
        <w:ind w:firstLine="641"/>
        <w:rPr>
          <w:rFonts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民营经济推动区域经济高质量发展</w:t>
      </w:r>
    </w:p>
    <w:p w14:paraId="78B9CDFD">
      <w:pPr>
        <w:spacing w:line="600" w:lineRule="exact"/>
        <w:ind w:firstLine="641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数字变革创新</w:t>
      </w:r>
    </w:p>
    <w:p w14:paraId="2284A96D">
      <w:pPr>
        <w:spacing w:line="600" w:lineRule="exact"/>
        <w:ind w:firstLine="640" w:firstLineChars="200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金融高质量发展</w:t>
      </w:r>
    </w:p>
    <w:p w14:paraId="2990BDFA">
      <w:pPr>
        <w:spacing w:line="600" w:lineRule="exact"/>
        <w:ind w:firstLine="640" w:firstLineChars="200"/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低空经济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发展现状与未来趋势</w:t>
      </w:r>
    </w:p>
    <w:p w14:paraId="2F5F9658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（六）中心城区更新提升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（4门）</w:t>
      </w:r>
    </w:p>
    <w:p w14:paraId="45CE60B9"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大数据与城市规划</w:t>
      </w:r>
    </w:p>
    <w:p w14:paraId="6DAA7763"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绿色城市发展与开放空间体系构建</w:t>
      </w:r>
    </w:p>
    <w:p w14:paraId="29E526B6"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公共文化服务体系建设</w:t>
      </w:r>
    </w:p>
    <w:p w14:paraId="2FA921FB"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  <w:lang w:val="en"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  <w:t>文旅融合发展</w:t>
      </w:r>
    </w:p>
    <w:p w14:paraId="4F928E9C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（七）乡村振兴全面推进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（4门）</w:t>
      </w:r>
    </w:p>
    <w:p w14:paraId="65AEB80E"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乡村振兴与数字技术赋能农业现代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化</w:t>
      </w:r>
    </w:p>
    <w:p w14:paraId="1A382878"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大数据助力乡村振兴的产业升级</w:t>
      </w:r>
    </w:p>
    <w:p w14:paraId="4EE57261"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新一代信息技术与数字乡村建设</w:t>
      </w:r>
    </w:p>
    <w:p w14:paraId="29143A9A"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推动“四好农村路”高质量发展</w:t>
      </w:r>
    </w:p>
    <w:p w14:paraId="042CFB5A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（八）绿色低碳发展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 w14:paraId="5A872A89"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深化生态文明体制改革</w:t>
      </w:r>
    </w:p>
    <w:p w14:paraId="184B8F93">
      <w:pPr>
        <w:spacing w:line="600" w:lineRule="exact"/>
        <w:ind w:firstLine="641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新质生产力与数字生态文明建设</w:t>
      </w:r>
    </w:p>
    <w:p w14:paraId="3484FF96"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低碳发展与绿色建筑</w:t>
      </w:r>
    </w:p>
    <w:p w14:paraId="32EC1CF4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（九）高品质生活创造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eastAsia="楷体_GB2312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</w:rPr>
        <w:t>门）</w:t>
      </w:r>
    </w:p>
    <w:p w14:paraId="4D334C51">
      <w:pPr>
        <w:spacing w:line="600" w:lineRule="exact"/>
        <w:ind w:firstLine="641"/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学习和运用习近平文化思想</w:t>
      </w:r>
    </w:p>
    <w:p w14:paraId="4A99870F"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食品安全及应急处理</w:t>
      </w:r>
    </w:p>
    <w:p w14:paraId="355505F0">
      <w:pPr>
        <w:spacing w:line="600" w:lineRule="exact"/>
        <w:ind w:firstLine="641"/>
        <w:rPr>
          <w:rFonts w:hint="default" w:eastAsia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医疗卫生与疾病防控</w:t>
      </w:r>
    </w:p>
    <w:p w14:paraId="7EF206B0">
      <w:pPr>
        <w:spacing w:line="600" w:lineRule="exact"/>
        <w:ind w:firstLine="641"/>
        <w:rPr>
          <w:rFonts w:hint="default" w:eastAsia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国产软件应用</w:t>
      </w:r>
    </w:p>
    <w:p w14:paraId="3D70295E">
      <w:pPr>
        <w:spacing w:line="600" w:lineRule="exact"/>
        <w:ind w:firstLine="641"/>
        <w:rPr>
          <w:rFonts w:hint="default" w:eastAsia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档案法治建设与科学管理</w:t>
      </w:r>
    </w:p>
    <w:p w14:paraId="35C68209">
      <w:pPr>
        <w:spacing w:line="600" w:lineRule="exact"/>
        <w:ind w:firstLine="641"/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中国传统文化与人生智慧</w:t>
      </w:r>
    </w:p>
    <w:p w14:paraId="7D4A5FBD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（十）党建引领基层治理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 w14:paraId="78A35966">
      <w:pPr>
        <w:spacing w:line="600" w:lineRule="exact"/>
        <w:ind w:firstLine="641"/>
        <w:rPr>
          <w:rFonts w:hint="eastAsia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hAnsi="Times New Roman" w:eastAsia="楷体_GB2312"/>
          <w:color w:val="auto"/>
          <w:kern w:val="0"/>
          <w:sz w:val="32"/>
          <w:szCs w:val="32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auto"/>
          <w:kern w:val="0"/>
          <w:sz w:val="32"/>
          <w:szCs w:val="32"/>
        </w:rPr>
        <w:t>习近平总书记关于党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eastAsia" w:hAnsi="Times New Roman" w:eastAsia="仿宋_GB2312"/>
          <w:color w:val="auto"/>
          <w:kern w:val="0"/>
          <w:sz w:val="32"/>
          <w:szCs w:val="32"/>
        </w:rPr>
        <w:t>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设的重要</w:t>
      </w:r>
      <w:r>
        <w:rPr>
          <w:rFonts w:hint="eastAsia" w:hAnsi="Times New Roman" w:eastAsia="仿宋_GB2312"/>
          <w:color w:val="auto"/>
          <w:kern w:val="0"/>
          <w:sz w:val="32"/>
          <w:szCs w:val="32"/>
        </w:rPr>
        <w:t>思想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解读</w:t>
      </w:r>
    </w:p>
    <w:p w14:paraId="131F7B6C">
      <w:pPr>
        <w:spacing w:line="600" w:lineRule="exact"/>
        <w:ind w:firstLine="641"/>
        <w:rPr>
          <w:rFonts w:hint="eastAsia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hAnsi="Times New Roman" w:eastAsia="仿宋_GB2312"/>
          <w:color w:val="auto"/>
          <w:kern w:val="0"/>
          <w:sz w:val="32"/>
          <w:szCs w:val="32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auto"/>
          <w:kern w:val="0"/>
          <w:sz w:val="32"/>
          <w:szCs w:val="32"/>
        </w:rPr>
        <w:t>大力加强政德建设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hAnsi="Times New Roman" w:eastAsia="仿宋_GB2312"/>
          <w:color w:val="auto"/>
          <w:kern w:val="0"/>
          <w:sz w:val="32"/>
          <w:szCs w:val="32"/>
        </w:rPr>
        <w:t>培养造就高素质干部队伍</w:t>
      </w:r>
    </w:p>
    <w:p w14:paraId="13756FC9"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做好新时代思想政治工作的方式方法</w:t>
      </w:r>
    </w:p>
    <w:p w14:paraId="3E95CAA5">
      <w:pPr>
        <w:spacing w:line="600" w:lineRule="exact"/>
        <w:ind w:firstLine="641"/>
        <w:rPr>
          <w:rFonts w:hint="eastAsia" w:ascii="Times New Roman" w:eastAsia="仿宋_GB2312"/>
          <w:sz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完善社会治理体系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提升社会治理效能</w:t>
      </w:r>
    </w:p>
    <w:p w14:paraId="60C31BBC">
      <w:pPr>
        <w:rPr>
          <w:rFonts w:hint="eastAsia" w:ascii="Times New Roman" w:eastAsia="仿宋_GB2312"/>
          <w:sz w:val="32"/>
        </w:rPr>
      </w:pPr>
    </w:p>
    <w:p w14:paraId="55A0BFA4">
      <w:pPr>
        <w:rPr>
          <w:rFonts w:hint="eastAsia"/>
        </w:rPr>
      </w:pPr>
    </w:p>
    <w:sectPr>
      <w:footerReference r:id="rId3" w:type="default"/>
      <w:pgSz w:w="11906" w:h="16838"/>
      <w:pgMar w:top="1361" w:right="1587" w:bottom="1247" w:left="158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665AE1-D83E-42C7-BCFC-09CB90C8A7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80A3C90-5AB8-43E4-89C7-EFA06E98D11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D220EF6-AEBD-4C9C-B505-E473763AFF77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4496313-A420-4C08-921F-418EE2ACCCB6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18DA3B63-6A6D-4882-BD40-8083C98B15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C0C26"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16A1AB5E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6102CDB"/>
    <w:rsid w:val="4BDA34F8"/>
    <w:rsid w:val="57E762E1"/>
    <w:rsid w:val="6A7B6CF6"/>
    <w:rsid w:val="6CFC5AC7"/>
    <w:rsid w:val="77F7B17D"/>
    <w:rsid w:val="7E99D142"/>
    <w:rsid w:val="7F5F354E"/>
    <w:rsid w:val="7F7F3E7A"/>
    <w:rsid w:val="B4B76522"/>
    <w:rsid w:val="BEBF5E2E"/>
    <w:rsid w:val="E7FE7996"/>
    <w:rsid w:val="F3FFFBC8"/>
    <w:rsid w:val="FDB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 w:firstLine="0" w:firstLineChars="0"/>
      <w:jc w:val="center"/>
      <w:outlineLvl w:val="0"/>
    </w:pPr>
    <w:rPr>
      <w:rFonts w:hint="eastAsia" w:ascii="等线 Light" w:hAnsi="等线 Light" w:eastAsia="方正小标宋_GBK" w:cs="Times New Roman"/>
      <w:bCs/>
      <w:kern w:val="2"/>
      <w:sz w:val="44"/>
      <w:szCs w:val="32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1984</Words>
  <Characters>2077</Characters>
  <Lines>1</Lines>
  <Paragraphs>1</Paragraphs>
  <TotalTime>2</TotalTime>
  <ScaleCrop>false</ScaleCrop>
  <LinksUpToDate>false</LinksUpToDate>
  <CharactersWithSpaces>2120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2020-09-15T06:56:00Z</dcterms:created>
  <dc:creator>admin</dc:creator>
  <cp:lastModifiedBy>Yan</cp:lastModifiedBy>
  <cp:lastPrinted>2005-02-20T15:04:00Z</cp:lastPrinted>
  <dcterms:modified xsi:type="dcterms:W3CDTF">2025-01-13T08:40:39Z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eyJoZGlkIjoiYzA2Zjg1M2UzNzA3NDhiMTI3MTJmMDBmNzZjODczMDgiLCJ1c2VySWQiOiI4MzQwNTM4NDcifQ==</vt:lpwstr>
  </property>
  <property fmtid="{D5CDD505-2E9C-101B-9397-08002B2CF9AE}" pid="4" name="ICV">
    <vt:lpwstr>CF03CF42D3744A8F8C1C106A1B3D78A6_13</vt:lpwstr>
  </property>
</Properties>
</file>