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52157">
      <w:pPr>
        <w:pStyle w:val="2"/>
        <w:spacing w:line="600" w:lineRule="exact"/>
        <w:rPr>
          <w:rFonts w:hint="eastAsia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 w:cs="Times New Roman"/>
          <w:sz w:val="44"/>
          <w:szCs w:val="44"/>
          <w:lang w:val="en-US" w:eastAsia="zh-CN"/>
        </w:rPr>
        <w:t>市人社局市财政局市税务局关于做好城乡</w:t>
      </w:r>
    </w:p>
    <w:p w14:paraId="1AE5BAF2">
      <w:pPr>
        <w:pStyle w:val="2"/>
        <w:spacing w:line="600" w:lineRule="exact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居民基本养老保险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参保缴费</w:t>
      </w:r>
    </w:p>
    <w:p w14:paraId="60670361">
      <w:pPr>
        <w:pStyle w:val="2"/>
        <w:spacing w:line="600" w:lineRule="exact"/>
        <w:rPr>
          <w:rFonts w:hint="eastAsia" w:ascii="Times New Roman" w:hAnsi="Times New Roman" w:eastAsia="文星简小标宋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有关工作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通知</w:t>
      </w:r>
    </w:p>
    <w:bookmarkEnd w:id="0"/>
    <w:p w14:paraId="0D6650CB">
      <w:pPr>
        <w:spacing w:line="600" w:lineRule="exact"/>
        <w:rPr>
          <w:rFonts w:hint="eastAsia"/>
          <w:sz w:val="32"/>
          <w:szCs w:val="32"/>
        </w:rPr>
      </w:pPr>
    </w:p>
    <w:p w14:paraId="5B4022E8">
      <w:pPr>
        <w:spacing w:line="600" w:lineRule="exact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各区人力资源和社会保障局、财政局、税务局，有关单位：</w:t>
      </w:r>
    </w:p>
    <w:p w14:paraId="0798FAF5">
      <w:pPr>
        <w:pStyle w:val="2"/>
        <w:widowControl w:val="0"/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做好本市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城乡居民基本养老保险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政策与国家政策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衔接协调，在国家城乡居民基本养老保险机制调整前，本市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参加城乡居民基本养老保险的人员，仍实行按年缴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纳养老保险费，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年缴费标准仍按十档执行，具体标准为：</w:t>
      </w:r>
      <w:r>
        <w:rPr>
          <w:rFonts w:hint="eastAsia" w:ascii="Times New Roman" w:hAnsi="Times New Roman" w:eastAsia="仿宋_GB2312" w:cs="仿宋_GB2312"/>
          <w:sz w:val="32"/>
        </w:rPr>
        <w:t>一档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600</w:t>
      </w:r>
      <w:r>
        <w:rPr>
          <w:rFonts w:hint="eastAsia" w:ascii="Times New Roman" w:hAnsi="Times New Roman" w:eastAsia="仿宋_GB2312" w:cs="仿宋_GB2312"/>
          <w:sz w:val="32"/>
        </w:rPr>
        <w:t>元、二档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900</w:t>
      </w:r>
      <w:r>
        <w:rPr>
          <w:rFonts w:hint="eastAsia" w:ascii="Times New Roman" w:hAnsi="Times New Roman" w:eastAsia="仿宋_GB2312" w:cs="仿宋_GB2312"/>
          <w:sz w:val="32"/>
        </w:rPr>
        <w:t>元、三档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1200</w:t>
      </w:r>
      <w:r>
        <w:rPr>
          <w:rFonts w:hint="eastAsia" w:ascii="Times New Roman" w:hAnsi="Times New Roman" w:eastAsia="仿宋_GB2312" w:cs="仿宋_GB2312"/>
          <w:sz w:val="32"/>
        </w:rPr>
        <w:t>元、四档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1500</w:t>
      </w:r>
      <w:r>
        <w:rPr>
          <w:rFonts w:hint="eastAsia" w:ascii="Times New Roman" w:hAnsi="Times New Roman" w:eastAsia="仿宋_GB2312" w:cs="仿宋_GB2312"/>
          <w:sz w:val="32"/>
        </w:rPr>
        <w:t>元、五档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1800</w:t>
      </w:r>
      <w:r>
        <w:rPr>
          <w:rFonts w:hint="eastAsia" w:ascii="Times New Roman" w:hAnsi="Times New Roman" w:eastAsia="仿宋_GB2312" w:cs="仿宋_GB2312"/>
          <w:sz w:val="32"/>
        </w:rPr>
        <w:t>元、六档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2400</w:t>
      </w:r>
      <w:r>
        <w:rPr>
          <w:rFonts w:hint="eastAsia" w:ascii="Times New Roman" w:hAnsi="Times New Roman" w:eastAsia="仿宋_GB2312" w:cs="仿宋_GB2312"/>
          <w:sz w:val="32"/>
        </w:rPr>
        <w:t>元、七档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3000</w:t>
      </w:r>
      <w:r>
        <w:rPr>
          <w:rFonts w:hint="eastAsia" w:ascii="Times New Roman" w:hAnsi="Times New Roman" w:eastAsia="仿宋_GB2312" w:cs="仿宋_GB2312"/>
          <w:sz w:val="32"/>
        </w:rPr>
        <w:t>元、八档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3600</w:t>
      </w:r>
      <w:r>
        <w:rPr>
          <w:rFonts w:hint="eastAsia" w:ascii="Times New Roman" w:hAnsi="Times New Roman" w:eastAsia="仿宋_GB2312" w:cs="仿宋_GB2312"/>
          <w:sz w:val="32"/>
        </w:rPr>
        <w:t>元、九档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4200</w:t>
      </w:r>
      <w:r>
        <w:rPr>
          <w:rFonts w:hint="eastAsia" w:ascii="Times New Roman" w:hAnsi="Times New Roman" w:eastAsia="仿宋_GB2312" w:cs="仿宋_GB2312"/>
          <w:sz w:val="32"/>
        </w:rPr>
        <w:t>元、十档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4800</w:t>
      </w:r>
      <w:r>
        <w:rPr>
          <w:rFonts w:hint="eastAsia" w:ascii="Times New Roman" w:hAnsi="Times New Roman" w:eastAsia="仿宋_GB2312" w:cs="仿宋_GB2312"/>
          <w:sz w:val="32"/>
        </w:rPr>
        <w:t>元。参保人员个人缴纳养老保险费的同时，政府对应缴费档次给予补贴，多缴多补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，补贴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标准为：</w:t>
      </w:r>
      <w:r>
        <w:rPr>
          <w:rFonts w:hint="eastAsia" w:ascii="Times New Roman" w:hAnsi="Times New Roman" w:eastAsia="仿宋_GB2312" w:cs="仿宋_GB2312"/>
          <w:sz w:val="32"/>
        </w:rPr>
        <w:t>一档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60</w:t>
      </w:r>
      <w:r>
        <w:rPr>
          <w:rFonts w:hint="eastAsia" w:ascii="Times New Roman" w:hAnsi="Times New Roman" w:eastAsia="仿宋_GB2312" w:cs="仿宋_GB2312"/>
          <w:sz w:val="32"/>
        </w:rPr>
        <w:t>元、二档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70</w:t>
      </w:r>
      <w:r>
        <w:rPr>
          <w:rFonts w:hint="eastAsia" w:ascii="Times New Roman" w:hAnsi="Times New Roman" w:eastAsia="仿宋_GB2312" w:cs="仿宋_GB2312"/>
          <w:sz w:val="32"/>
        </w:rPr>
        <w:t>元、三档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80</w:t>
      </w:r>
      <w:r>
        <w:rPr>
          <w:rFonts w:hint="eastAsia" w:ascii="Times New Roman" w:hAnsi="Times New Roman" w:eastAsia="仿宋_GB2312" w:cs="仿宋_GB2312"/>
          <w:sz w:val="32"/>
        </w:rPr>
        <w:t>元、四档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90</w:t>
      </w:r>
      <w:r>
        <w:rPr>
          <w:rFonts w:hint="eastAsia" w:ascii="Times New Roman" w:hAnsi="Times New Roman" w:eastAsia="仿宋_GB2312" w:cs="仿宋_GB2312"/>
          <w:sz w:val="32"/>
        </w:rPr>
        <w:t>元、五档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Times New Roman" w:hAnsi="Times New Roman" w:eastAsia="仿宋_GB2312" w:cs="仿宋_GB2312"/>
          <w:sz w:val="32"/>
        </w:rPr>
        <w:t>元、六档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120</w:t>
      </w:r>
      <w:r>
        <w:rPr>
          <w:rFonts w:hint="eastAsia" w:ascii="Times New Roman" w:hAnsi="Times New Roman" w:eastAsia="仿宋_GB2312" w:cs="仿宋_GB2312"/>
          <w:sz w:val="32"/>
        </w:rPr>
        <w:t>元、七档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140</w:t>
      </w:r>
      <w:r>
        <w:rPr>
          <w:rFonts w:hint="eastAsia" w:ascii="Times New Roman" w:hAnsi="Times New Roman" w:eastAsia="仿宋_GB2312" w:cs="仿宋_GB2312"/>
          <w:sz w:val="32"/>
        </w:rPr>
        <w:t>元、八档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160</w:t>
      </w:r>
      <w:r>
        <w:rPr>
          <w:rFonts w:hint="eastAsia" w:ascii="Times New Roman" w:hAnsi="Times New Roman" w:eastAsia="仿宋_GB2312" w:cs="仿宋_GB2312"/>
          <w:sz w:val="32"/>
        </w:rPr>
        <w:t>元、九档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180</w:t>
      </w:r>
      <w:r>
        <w:rPr>
          <w:rFonts w:hint="eastAsia" w:ascii="Times New Roman" w:hAnsi="Times New Roman" w:eastAsia="仿宋_GB2312" w:cs="仿宋_GB2312"/>
          <w:sz w:val="32"/>
        </w:rPr>
        <w:t>元、十档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200</w:t>
      </w:r>
      <w:r>
        <w:rPr>
          <w:rFonts w:hint="eastAsia" w:ascii="Times New Roman" w:hAnsi="Times New Roman" w:eastAsia="仿宋_GB2312" w:cs="仿宋_GB2312"/>
          <w:sz w:val="32"/>
        </w:rPr>
        <w:t>元。参保人员</w:t>
      </w:r>
      <w:r>
        <w:rPr>
          <w:rFonts w:hint="eastAsia" w:ascii="Times New Roman" w:hAnsi="Times New Roman" w:eastAsia="仿宋_GB2312" w:cs="仿宋_GB2312"/>
          <w:sz w:val="32"/>
          <w:lang w:eastAsia="zh-CN"/>
        </w:rPr>
        <w:t>未逐年缴费或中断缴费的，其未缴费或中断缴费年度不</w:t>
      </w:r>
      <w:r>
        <w:rPr>
          <w:rFonts w:hint="eastAsia" w:ascii="Times New Roman" w:hAnsi="Times New Roman" w:eastAsia="仿宋_GB2312" w:cs="仿宋_GB2312"/>
          <w:sz w:val="32"/>
        </w:rPr>
        <w:t>给予</w:t>
      </w:r>
      <w:r>
        <w:rPr>
          <w:rFonts w:hint="eastAsia" w:ascii="Times New Roman" w:hAnsi="Times New Roman" w:eastAsia="仿宋_GB2312" w:cs="仿宋_GB2312"/>
          <w:sz w:val="32"/>
          <w:lang w:eastAsia="zh-CN"/>
        </w:rPr>
        <w:t>缴费补贴。</w:t>
      </w:r>
    </w:p>
    <w:p w14:paraId="6A9907B0">
      <w:pPr>
        <w:pStyle w:val="2"/>
        <w:widowControl/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各级人社、财政、税务部门要切实履行职责，加强协调配合，做好政策宣传工作，引导城乡居民早参保、持续缴费、多缴费、长缴费，不断增加个人账户基金积累，提高保障水平。</w:t>
      </w:r>
    </w:p>
    <w:p w14:paraId="34E6680A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本通知自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施行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。市人社局、市财政局、市税务局将根据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市城乡居民收入情况及国家关于筹资标准确定机制要求，适时进行调整。</w:t>
      </w:r>
    </w:p>
    <w:p w14:paraId="60F577E5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</w:t>
      </w:r>
    </w:p>
    <w:p w14:paraId="376EC88B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2EA94C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DB91284">
      <w:pPr>
        <w:spacing w:line="600" w:lineRule="exact"/>
        <w:ind w:firstLine="800" w:firstLineChars="25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市人社局           市财政局     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税务局</w:t>
      </w:r>
    </w:p>
    <w:p w14:paraId="3A43A007">
      <w:pPr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default" w:eastAsia="仿宋_GB2312"/>
          <w:sz w:val="32"/>
          <w:szCs w:val="32"/>
          <w:lang w:val="en"/>
        </w:rPr>
        <w:t xml:space="preserve">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日</w:t>
      </w:r>
    </w:p>
    <w:p w14:paraId="07E27F64">
      <w:pPr>
        <w:spacing w:line="600" w:lineRule="exact"/>
        <w:ind w:firstLine="480" w:firstLineChars="150"/>
        <w:rPr>
          <w:rFonts w:ascii="仿宋_GB2312" w:eastAsia="仿宋_GB2312"/>
          <w:sz w:val="32"/>
        </w:rPr>
      </w:pPr>
      <w:r>
        <w:rPr>
          <w:rFonts w:eastAsia="仿宋_GB2312"/>
          <w:sz w:val="32"/>
          <w:szCs w:val="32"/>
        </w:rPr>
        <w:t>（此件主动公开）</w:t>
      </w:r>
    </w:p>
    <w:p w14:paraId="643D6D54">
      <w:pPr>
        <w:pStyle w:val="3"/>
        <w:rPr>
          <w:rFonts w:ascii="仿宋_GB2312" w:eastAsia="仿宋_GB2312"/>
          <w:sz w:val="32"/>
        </w:rPr>
      </w:pPr>
    </w:p>
    <w:p w14:paraId="07DD7EBC">
      <w:pPr>
        <w:pStyle w:val="4"/>
      </w:pPr>
    </w:p>
    <w:p w14:paraId="6978F965">
      <w:pPr>
        <w:rPr>
          <w:rFonts w:hint="eastAsia" w:ascii="Times New Roman" w:eastAsia="文星简小标宋" w:cs="宋体"/>
          <w:bCs/>
          <w:szCs w:val="44"/>
        </w:rPr>
      </w:pPr>
      <w:r>
        <w:rPr>
          <w:rFonts w:hint="eastAsia" w:ascii="Times New Roman" w:eastAsia="文星简小标宋" w:cs="宋体"/>
          <w:bCs/>
          <w:szCs w:val="44"/>
        </w:rPr>
        <w:br w:type="page"/>
      </w:r>
    </w:p>
    <w:p w14:paraId="37E0A0DD">
      <w:pPr>
        <w:pStyle w:val="2"/>
        <w:spacing w:line="600" w:lineRule="exact"/>
        <w:rPr>
          <w:rFonts w:hint="eastAsia" w:ascii="Times New Roman" w:eastAsia="文星简小标宋" w:cs="宋体"/>
          <w:bCs/>
          <w:szCs w:val="44"/>
        </w:rPr>
      </w:pPr>
      <w:r>
        <w:rPr>
          <w:rFonts w:hint="eastAsia" w:ascii="Times New Roman" w:eastAsia="文星简小标宋" w:cs="宋体"/>
          <w:bCs/>
          <w:szCs w:val="44"/>
        </w:rPr>
        <w:t>政</w:t>
      </w:r>
      <w:r>
        <w:rPr>
          <w:rFonts w:hint="eastAsia" w:ascii="Times New Roman" w:hAnsi="Times New Roman" w:cs="宋体"/>
          <w:bCs/>
          <w:szCs w:val="44"/>
        </w:rPr>
        <w:t xml:space="preserve"> </w:t>
      </w:r>
      <w:r>
        <w:rPr>
          <w:rFonts w:hint="eastAsia" w:ascii="Times New Roman" w:eastAsia="文星简小标宋" w:cs="宋体"/>
          <w:bCs/>
          <w:szCs w:val="44"/>
        </w:rPr>
        <w:t>策</w:t>
      </w:r>
      <w:r>
        <w:rPr>
          <w:rFonts w:hint="eastAsia" w:ascii="Times New Roman" w:hAnsi="Times New Roman" w:cs="宋体"/>
          <w:bCs/>
          <w:szCs w:val="44"/>
        </w:rPr>
        <w:t xml:space="preserve"> </w:t>
      </w:r>
      <w:r>
        <w:rPr>
          <w:rFonts w:hint="eastAsia" w:ascii="Times New Roman" w:eastAsia="文星简小标宋" w:cs="宋体"/>
          <w:bCs/>
          <w:szCs w:val="44"/>
        </w:rPr>
        <w:t>问</w:t>
      </w:r>
      <w:r>
        <w:rPr>
          <w:rFonts w:hint="eastAsia" w:ascii="Times New Roman" w:hAnsi="Times New Roman" w:cs="宋体"/>
          <w:bCs/>
          <w:szCs w:val="44"/>
        </w:rPr>
        <w:t xml:space="preserve"> </w:t>
      </w:r>
      <w:r>
        <w:rPr>
          <w:rFonts w:hint="eastAsia" w:ascii="Times New Roman" w:eastAsia="文星简小标宋" w:cs="宋体"/>
          <w:bCs/>
          <w:szCs w:val="44"/>
        </w:rPr>
        <w:t>答</w:t>
      </w:r>
    </w:p>
    <w:p w14:paraId="413F892E">
      <w:pPr>
        <w:spacing w:line="600" w:lineRule="exact"/>
        <w:jc w:val="center"/>
        <w:rPr>
          <w:rFonts w:eastAsia="文星简小标宋"/>
          <w:bCs/>
          <w:sz w:val="44"/>
          <w:szCs w:val="44"/>
        </w:rPr>
      </w:pPr>
    </w:p>
    <w:p w14:paraId="4B4B0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一、个人缴费档次标准</w:t>
      </w:r>
      <w:r>
        <w:rPr>
          <w:rFonts w:hint="eastAsia" w:eastAsia="黑体"/>
          <w:sz w:val="32"/>
          <w:szCs w:val="32"/>
          <w:lang w:eastAsia="zh-CN"/>
        </w:rPr>
        <w:t>有哪些</w:t>
      </w:r>
      <w:r>
        <w:rPr>
          <w:rFonts w:hint="eastAsia" w:eastAsia="黑体"/>
          <w:sz w:val="32"/>
          <w:szCs w:val="32"/>
        </w:rPr>
        <w:t>？</w:t>
      </w:r>
    </w:p>
    <w:p w14:paraId="0A885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答：</w:t>
      </w:r>
      <w:r>
        <w:rPr>
          <w:rFonts w:hint="eastAsia" w:eastAsia="仿宋_GB2312"/>
          <w:sz w:val="32"/>
          <w:szCs w:val="32"/>
        </w:rPr>
        <w:t>目前，</w:t>
      </w:r>
      <w:r>
        <w:rPr>
          <w:rFonts w:hint="eastAsia" w:eastAsia="仿宋_GB2312"/>
          <w:sz w:val="32"/>
          <w:szCs w:val="32"/>
          <w:lang w:eastAsia="zh-CN"/>
        </w:rPr>
        <w:t>本</w:t>
      </w:r>
      <w:r>
        <w:rPr>
          <w:rFonts w:hint="eastAsia" w:eastAsia="仿宋_GB2312"/>
          <w:sz w:val="32"/>
          <w:szCs w:val="32"/>
        </w:rPr>
        <w:t>市城乡居民养老保险个人缴费设置为</w:t>
      </w:r>
      <w:r>
        <w:rPr>
          <w:rFonts w:eastAsia="仿宋_GB2312"/>
          <w:sz w:val="32"/>
          <w:szCs w:val="32"/>
        </w:rPr>
        <w:t>600</w:t>
      </w:r>
      <w:r>
        <w:rPr>
          <w:rFonts w:hint="eastAsia" w:eastAsia="仿宋_GB2312"/>
          <w:sz w:val="32"/>
          <w:szCs w:val="32"/>
        </w:rPr>
        <w:t>元～</w:t>
      </w:r>
      <w:r>
        <w:rPr>
          <w:rFonts w:hint="eastAsia" w:eastAsia="仿宋_GB2312"/>
          <w:sz w:val="32"/>
          <w:szCs w:val="32"/>
          <w:lang w:val="en-US" w:eastAsia="zh-CN"/>
        </w:rPr>
        <w:t>48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个档次，城乡居民可以自主选择缴费档次</w:t>
      </w:r>
      <w:r>
        <w:rPr>
          <w:rFonts w:hint="eastAsia" w:eastAsia="仿宋_GB2312"/>
          <w:sz w:val="32"/>
          <w:szCs w:val="32"/>
          <w:lang w:eastAsia="zh-CN"/>
        </w:rPr>
        <w:t>，多缴多得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具体标准为：</w:t>
      </w:r>
      <w:r>
        <w:rPr>
          <w:rFonts w:hint="eastAsia" w:ascii="Times New Roman" w:hAnsi="Times New Roman" w:eastAsia="仿宋_GB2312" w:cs="仿宋_GB2312"/>
          <w:sz w:val="32"/>
        </w:rPr>
        <w:t>一档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600</w:t>
      </w:r>
      <w:r>
        <w:rPr>
          <w:rFonts w:hint="eastAsia" w:ascii="Times New Roman" w:hAnsi="Times New Roman" w:eastAsia="仿宋_GB2312" w:cs="仿宋_GB2312"/>
          <w:sz w:val="32"/>
        </w:rPr>
        <w:t>元、二档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900</w:t>
      </w:r>
      <w:r>
        <w:rPr>
          <w:rFonts w:hint="eastAsia" w:ascii="Times New Roman" w:hAnsi="Times New Roman" w:eastAsia="仿宋_GB2312" w:cs="仿宋_GB2312"/>
          <w:sz w:val="32"/>
        </w:rPr>
        <w:t>元、三档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1200</w:t>
      </w:r>
      <w:r>
        <w:rPr>
          <w:rFonts w:hint="eastAsia" w:ascii="Times New Roman" w:hAnsi="Times New Roman" w:eastAsia="仿宋_GB2312" w:cs="仿宋_GB2312"/>
          <w:sz w:val="32"/>
        </w:rPr>
        <w:t>元、四档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1500</w:t>
      </w:r>
      <w:r>
        <w:rPr>
          <w:rFonts w:hint="eastAsia" w:ascii="Times New Roman" w:hAnsi="Times New Roman" w:eastAsia="仿宋_GB2312" w:cs="仿宋_GB2312"/>
          <w:sz w:val="32"/>
        </w:rPr>
        <w:t>元、五档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1800</w:t>
      </w:r>
      <w:r>
        <w:rPr>
          <w:rFonts w:hint="eastAsia" w:ascii="Times New Roman" w:hAnsi="Times New Roman" w:eastAsia="仿宋_GB2312" w:cs="仿宋_GB2312"/>
          <w:sz w:val="32"/>
        </w:rPr>
        <w:t>元、六档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2400</w:t>
      </w:r>
      <w:r>
        <w:rPr>
          <w:rFonts w:hint="eastAsia" w:ascii="Times New Roman" w:hAnsi="Times New Roman" w:eastAsia="仿宋_GB2312" w:cs="仿宋_GB2312"/>
          <w:sz w:val="32"/>
        </w:rPr>
        <w:t>元、七档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3000</w:t>
      </w:r>
      <w:r>
        <w:rPr>
          <w:rFonts w:hint="eastAsia" w:ascii="Times New Roman" w:hAnsi="Times New Roman" w:eastAsia="仿宋_GB2312" w:cs="仿宋_GB2312"/>
          <w:sz w:val="32"/>
        </w:rPr>
        <w:t>元、八档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3600</w:t>
      </w:r>
      <w:r>
        <w:rPr>
          <w:rFonts w:hint="eastAsia" w:ascii="Times New Roman" w:hAnsi="Times New Roman" w:eastAsia="仿宋_GB2312" w:cs="仿宋_GB2312"/>
          <w:sz w:val="32"/>
        </w:rPr>
        <w:t>元、九档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4200</w:t>
      </w:r>
      <w:r>
        <w:rPr>
          <w:rFonts w:hint="eastAsia" w:ascii="Times New Roman" w:hAnsi="Times New Roman" w:eastAsia="仿宋_GB2312" w:cs="仿宋_GB2312"/>
          <w:sz w:val="32"/>
        </w:rPr>
        <w:t>元、十档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4800</w:t>
      </w:r>
      <w:r>
        <w:rPr>
          <w:rFonts w:hint="eastAsia" w:ascii="Times New Roman" w:hAnsi="Times New Roman" w:eastAsia="仿宋_GB2312" w:cs="仿宋_GB2312"/>
          <w:sz w:val="32"/>
        </w:rPr>
        <w:t>元。</w:t>
      </w:r>
    </w:p>
    <w:p w14:paraId="34A58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eastAsia="zh-CN"/>
        </w:rPr>
        <w:t>缴费</w:t>
      </w:r>
      <w:r>
        <w:rPr>
          <w:rFonts w:hint="eastAsia" w:eastAsia="黑体"/>
          <w:sz w:val="32"/>
          <w:szCs w:val="32"/>
        </w:rPr>
        <w:t>补贴标准</w:t>
      </w:r>
      <w:r>
        <w:rPr>
          <w:rFonts w:hint="eastAsia" w:eastAsia="黑体"/>
          <w:sz w:val="32"/>
          <w:szCs w:val="32"/>
          <w:lang w:eastAsia="zh-CN"/>
        </w:rPr>
        <w:t>有哪些</w:t>
      </w:r>
      <w:r>
        <w:rPr>
          <w:rFonts w:hint="eastAsia" w:eastAsia="黑体"/>
          <w:sz w:val="32"/>
          <w:szCs w:val="32"/>
        </w:rPr>
        <w:t>？</w:t>
      </w:r>
    </w:p>
    <w:p w14:paraId="401E41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</w:rPr>
        <w:t>答：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目前，参保人员个人缴纳养老保险费的同时，政府对应缴费档次给予补贴，多缴多补，缴费补贴设置为60元～200元10个档次，缴费补贴全部由市财政负担。补贴标准为：一档60元、二档70元、三档80元、四档90元、五档100元、六档120元、七档140元、八档160元、九档180元、十档200元。</w:t>
      </w:r>
      <w:r>
        <w:rPr>
          <w:rFonts w:hint="eastAsia" w:ascii="Times New Roman" w:hAnsi="Times New Roman" w:eastAsia="仿宋_GB2312" w:cs="仿宋_GB2312"/>
          <w:sz w:val="32"/>
        </w:rPr>
        <w:t>参保人员</w:t>
      </w:r>
      <w:r>
        <w:rPr>
          <w:rFonts w:hint="eastAsia" w:ascii="Times New Roman" w:hAnsi="Times New Roman" w:eastAsia="仿宋_GB2312" w:cs="仿宋_GB2312"/>
          <w:sz w:val="32"/>
          <w:lang w:eastAsia="zh-CN"/>
        </w:rPr>
        <w:t>未逐年缴费或中断缴费的，其未缴费或中断缴费的年度不</w:t>
      </w:r>
      <w:r>
        <w:rPr>
          <w:rFonts w:hint="eastAsia" w:ascii="Times New Roman" w:hAnsi="Times New Roman" w:eastAsia="仿宋_GB2312" w:cs="仿宋_GB2312"/>
          <w:sz w:val="32"/>
        </w:rPr>
        <w:t>给予</w:t>
      </w:r>
      <w:r>
        <w:rPr>
          <w:rFonts w:hint="eastAsia" w:ascii="Times New Roman" w:hAnsi="Times New Roman" w:eastAsia="仿宋_GB2312" w:cs="仿宋_GB2312"/>
          <w:sz w:val="32"/>
          <w:lang w:eastAsia="zh-CN"/>
        </w:rPr>
        <w:t>缴费补贴。</w:t>
      </w:r>
    </w:p>
    <w:p w14:paraId="78F20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eastAsia="黑体"/>
          <w:sz w:val="32"/>
          <w:szCs w:val="32"/>
          <w:lang w:eastAsia="zh-CN"/>
        </w:rPr>
        <w:t>三、</w:t>
      </w:r>
      <w:r>
        <w:rPr>
          <w:rFonts w:hint="eastAsia" w:eastAsia="黑体"/>
          <w:sz w:val="32"/>
          <w:szCs w:val="32"/>
        </w:rPr>
        <w:t>个人缴费档次标准</w:t>
      </w:r>
      <w:r>
        <w:rPr>
          <w:rFonts w:hint="eastAsia" w:eastAsia="黑体"/>
          <w:sz w:val="32"/>
          <w:szCs w:val="32"/>
          <w:lang w:eastAsia="zh-CN"/>
        </w:rPr>
        <w:t>会调整吗</w:t>
      </w:r>
      <w:r>
        <w:rPr>
          <w:rFonts w:hint="eastAsia" w:eastAsia="黑体"/>
          <w:sz w:val="32"/>
          <w:szCs w:val="32"/>
        </w:rPr>
        <w:t>？</w:t>
      </w:r>
    </w:p>
    <w:p w14:paraId="4D60D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</w:rPr>
        <w:t>答：</w:t>
      </w:r>
      <w:r>
        <w:rPr>
          <w:rFonts w:hint="eastAsia" w:eastAsia="仿宋_GB2312"/>
          <w:sz w:val="32"/>
          <w:szCs w:val="32"/>
          <w:lang w:eastAsia="zh-CN"/>
        </w:rPr>
        <w:t>会调整。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市人社局、市财政局、市税务局将根据</w:t>
      </w:r>
      <w:r>
        <w:rPr>
          <w:rFonts w:hint="eastAsia" w:eastAsia="仿宋_GB2312" w:cs="仿宋_GB2312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市城乡居民收入情况及国家关于筹资标准确定机制要求，适时进行调整。</w:t>
      </w:r>
    </w:p>
    <w:p w14:paraId="1DD25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5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四</w:t>
      </w:r>
      <w:r>
        <w:rPr>
          <w:rFonts w:hAnsi="Times New Roman" w:eastAsia="黑体"/>
          <w:sz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缴费</w:t>
      </w:r>
      <w:r>
        <w:rPr>
          <w:rFonts w:hint="eastAsia" w:eastAsia="黑体"/>
          <w:sz w:val="32"/>
          <w:szCs w:val="32"/>
        </w:rPr>
        <w:t>补贴标准</w:t>
      </w:r>
      <w:r>
        <w:rPr>
          <w:rFonts w:hint="eastAsia" w:eastAsia="黑体"/>
          <w:sz w:val="32"/>
          <w:szCs w:val="32"/>
          <w:lang w:eastAsia="zh-CN"/>
        </w:rPr>
        <w:t>会调整吗</w:t>
      </w:r>
      <w:r>
        <w:rPr>
          <w:rFonts w:hAnsi="Times New Roman" w:eastAsia="黑体"/>
          <w:sz w:val="32"/>
        </w:rPr>
        <w:t>？</w:t>
      </w:r>
    </w:p>
    <w:p w14:paraId="06B7AF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</w:rPr>
        <w:t>答：</w:t>
      </w:r>
      <w:r>
        <w:rPr>
          <w:rFonts w:hint="eastAsia" w:eastAsia="仿宋_GB2312"/>
          <w:sz w:val="32"/>
          <w:szCs w:val="32"/>
          <w:lang w:eastAsia="zh-CN"/>
        </w:rPr>
        <w:t>会调整。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市人社局、市财政局、市税务局将</w:t>
      </w:r>
      <w:r>
        <w:rPr>
          <w:rFonts w:hint="eastAsia" w:eastAsia="仿宋_GB2312" w:cs="仿宋_GB2312"/>
          <w:sz w:val="32"/>
          <w:szCs w:val="32"/>
          <w:lang w:eastAsia="zh-CN"/>
        </w:rPr>
        <w:t>根据本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市个人缴费档次标准的调整，</w:t>
      </w:r>
      <w:r>
        <w:rPr>
          <w:rFonts w:hint="eastAsia" w:eastAsia="仿宋_GB2312" w:cs="仿宋_GB2312"/>
          <w:sz w:val="32"/>
          <w:szCs w:val="32"/>
          <w:lang w:eastAsia="zh-CN"/>
        </w:rPr>
        <w:t>对缴费补贴标准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适时进行调整。</w:t>
      </w:r>
    </w:p>
    <w:p w14:paraId="62E81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0AA0F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049FC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6CCF5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471D4F83">
      <w:pPr>
        <w:spacing w:line="600" w:lineRule="exact"/>
      </w:pPr>
    </w:p>
    <w:p w14:paraId="2FB0B502">
      <w:pPr>
        <w:pStyle w:val="2"/>
        <w:spacing w:line="600" w:lineRule="exact"/>
        <w:jc w:val="both"/>
        <w:rPr>
          <w:rFonts w:hint="eastAsia"/>
        </w:rPr>
      </w:pPr>
    </w:p>
    <w:p w14:paraId="03D28651">
      <w:pPr>
        <w:spacing w:line="600" w:lineRule="exact"/>
        <w:rPr>
          <w:rFonts w:hint="eastAsia" w:ascii="Times New Roman" w:eastAsia="仿宋_GB2312"/>
          <w:sz w:val="32"/>
        </w:rPr>
      </w:pPr>
    </w:p>
    <w:p w14:paraId="60771566">
      <w:pPr>
        <w:spacing w:line="600" w:lineRule="exact"/>
        <w:rPr>
          <w:rFonts w:hint="eastAsia" w:ascii="Times New Roman" w:eastAsia="仿宋_GB2312"/>
          <w:sz w:val="32"/>
        </w:rPr>
      </w:pPr>
    </w:p>
    <w:p w14:paraId="3280B7C6">
      <w:pPr>
        <w:spacing w:line="600" w:lineRule="exact"/>
        <w:rPr>
          <w:rFonts w:ascii="Times New Roman" w:eastAsia="仿宋_GB2312"/>
          <w:sz w:val="32"/>
        </w:rPr>
      </w:pPr>
    </w:p>
    <w:p w14:paraId="03A3D822">
      <w:pPr>
        <w:spacing w:line="600" w:lineRule="exact"/>
        <w:rPr>
          <w:rFonts w:hint="eastAsia" w:ascii="Times New Roman" w:eastAsia="仿宋_GB2312"/>
          <w:sz w:val="32"/>
        </w:rPr>
      </w:pPr>
    </w:p>
    <w:p w14:paraId="7505B8D9">
      <w:pPr>
        <w:spacing w:line="60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54A2B">
    <w:pPr>
      <w:pStyle w:val="3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2B612E0B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72080">
    <w:pPr>
      <w:pStyle w:val="3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EA5E66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EFF2C39"/>
    <w:rsid w:val="365C6744"/>
    <w:rsid w:val="3ABBB9C2"/>
    <w:rsid w:val="3EFFCFAE"/>
    <w:rsid w:val="51EFC290"/>
    <w:rsid w:val="557FAEA2"/>
    <w:rsid w:val="6E7F197F"/>
    <w:rsid w:val="7B7E8851"/>
    <w:rsid w:val="7BDDE4C6"/>
    <w:rsid w:val="7FBFB087"/>
    <w:rsid w:val="7FBFD12F"/>
    <w:rsid w:val="7FEFE32D"/>
    <w:rsid w:val="9F12FB27"/>
    <w:rsid w:val="BF7A53B6"/>
    <w:rsid w:val="CFC70AD5"/>
    <w:rsid w:val="D5BF59AD"/>
    <w:rsid w:val="D77E8CF2"/>
    <w:rsid w:val="DCFD5BC0"/>
    <w:rsid w:val="DEFF478C"/>
    <w:rsid w:val="EEEB422B"/>
    <w:rsid w:val="F5FB1D78"/>
    <w:rsid w:val="F79E9DDF"/>
    <w:rsid w:val="F7F7FC42"/>
    <w:rsid w:val="FB533241"/>
    <w:rsid w:val="FB9FD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next w:val="6"/>
    <w:qFormat/>
    <w:uiPriority w:val="0"/>
    <w:pPr>
      <w:ind w:firstLine="420"/>
    </w:pPr>
    <w:rPr>
      <w:rFonts w:ascii="Calibri" w:hAnsi="Calibri" w:eastAsia="宋体" w:cs="Calibri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1003</Words>
  <Characters>1113</Characters>
  <Lines>1</Lines>
  <Paragraphs>1</Paragraphs>
  <TotalTime>13</TotalTime>
  <ScaleCrop>false</ScaleCrop>
  <LinksUpToDate>false</LinksUpToDate>
  <CharactersWithSpaces>2309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2020-09-18T22:56:00Z</dcterms:created>
  <dc:creator>admin</dc:creator>
  <cp:lastModifiedBy>佟萌萌</cp:lastModifiedBy>
  <cp:lastPrinted>2005-02-24T07:04:00Z</cp:lastPrinted>
  <dcterms:modified xsi:type="dcterms:W3CDTF">2025-04-07T01:07:01Z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1885ECD35D5D43D684E85ACEB05E7603_12</vt:lpwstr>
  </property>
</Properties>
</file>