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833A1">
      <w:pPr>
        <w:pStyle w:val="2"/>
        <w:adjustRightInd w:val="0"/>
        <w:spacing w:line="440" w:lineRule="exact"/>
        <w:rPr>
          <w:rFonts w:hAnsi="宋体"/>
          <w:b/>
          <w:bCs/>
          <w:szCs w:val="44"/>
        </w:rPr>
      </w:pPr>
    </w:p>
    <w:p w14:paraId="54DD0C5C">
      <w:pPr>
        <w:pStyle w:val="2"/>
        <w:adjustRightInd w:val="0"/>
        <w:spacing w:line="600" w:lineRule="exact"/>
        <w:rPr>
          <w:rFonts w:hint="default" w:ascii="Times New Roman" w:hAnsi="Times New Roman" w:eastAsia="方正小标宋简体" w:cs="Times New Roman"/>
          <w:b w:val="0"/>
          <w:bCs/>
          <w:color w:val="auto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Cs w:val="44"/>
        </w:rPr>
        <w:t>市人社局关于202</w:t>
      </w:r>
      <w:r>
        <w:rPr>
          <w:rFonts w:hint="eastAsia" w:eastAsia="方正小标宋简体" w:cs="Times New Roman"/>
          <w:b w:val="0"/>
          <w:bCs/>
          <w:color w:val="auto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Cs w:val="44"/>
        </w:rPr>
        <w:t>年专业技术人员继续教育</w:t>
      </w:r>
    </w:p>
    <w:p w14:paraId="65D7898A">
      <w:pPr>
        <w:pStyle w:val="2"/>
        <w:adjustRightInd w:val="0"/>
        <w:spacing w:line="600" w:lineRule="exact"/>
        <w:rPr>
          <w:rFonts w:hint="default" w:ascii="Times New Roman" w:hAnsi="Times New Roman" w:eastAsia="方正小标宋简体" w:cs="Times New Roman"/>
          <w:b w:val="0"/>
          <w:bCs/>
          <w:color w:val="auto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Cs w:val="44"/>
        </w:rPr>
        <w:t>公需科目学习有关事项的通知</w:t>
      </w:r>
    </w:p>
    <w:p w14:paraId="44023E61">
      <w:pPr>
        <w:pStyle w:val="2"/>
        <w:spacing w:line="600" w:lineRule="exact"/>
        <w:rPr>
          <w:rFonts w:hint="eastAsia" w:ascii="Times New Roman" w:hAnsi="Times New Roman" w:eastAsia="文星简小标宋"/>
          <w:sz w:val="32"/>
          <w:szCs w:val="32"/>
        </w:rPr>
      </w:pPr>
    </w:p>
    <w:p w14:paraId="4AB7921D">
      <w:pPr>
        <w:adjustRightInd w:val="0"/>
        <w:spacing w:line="60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各区人力资源和社会保障局，各委办局（集团公司）、人民团体、大专院校人力资源（教育）部门，有关单位：</w:t>
      </w:r>
    </w:p>
    <w:p w14:paraId="35452C91">
      <w:pPr>
        <w:spacing w:line="600" w:lineRule="exact"/>
        <w:ind w:right="-42" w:rightChars="-2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深入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贯彻党的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二十届四中全会精神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进一步提升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我市专业技术人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综合素质，</w:t>
      </w:r>
      <w:r>
        <w:rPr>
          <w:rFonts w:hint="eastAsia" w:ascii="Times New Roman" w:eastAsia="仿宋_GB2312"/>
          <w:sz w:val="32"/>
          <w:szCs w:val="32"/>
        </w:rPr>
        <w:t>聚焦服务</w:t>
      </w:r>
      <w:r>
        <w:rPr>
          <w:rFonts w:hint="eastAsia" w:eastAsia="仿宋_GB2312"/>
          <w:sz w:val="32"/>
          <w:szCs w:val="32"/>
          <w:lang w:eastAsia="zh-CN"/>
        </w:rPr>
        <w:t>市委市政府</w:t>
      </w:r>
      <w:r>
        <w:rPr>
          <w:rFonts w:hint="eastAsia" w:ascii="Times New Roman" w:eastAsia="仿宋_GB2312"/>
          <w:sz w:val="32"/>
          <w:szCs w:val="32"/>
          <w:lang w:eastAsia="zh-CN"/>
        </w:rPr>
        <w:t>“</w:t>
      </w:r>
      <w:r>
        <w:rPr>
          <w:rFonts w:hint="eastAsia" w:ascii="Times New Roman" w:eastAsia="仿宋_GB2312"/>
          <w:sz w:val="32"/>
          <w:szCs w:val="32"/>
        </w:rPr>
        <w:t>十项行动</w:t>
      </w:r>
      <w:r>
        <w:rPr>
          <w:rFonts w:hint="eastAsia" w:ascii="Times New Roman" w:eastAsia="仿宋_GB2312"/>
          <w:sz w:val="32"/>
          <w:szCs w:val="32"/>
          <w:lang w:eastAsia="zh-CN"/>
        </w:rPr>
        <w:t>”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根据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我市继续教育有关规定及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《市人社局关于落实专业技术人才知识更新工程重点任务的通知》（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津人社办函〔202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/>
        </w:rPr>
        <w:t>620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广泛征集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论证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，并征求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专业技术人才知识更新工程指导协调小组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成员单位意见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市人社局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确定了我市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年专业技术人员继续教育公需科目（以下简称公需科目）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现就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有关事项通知如下：</w:t>
      </w:r>
    </w:p>
    <w:p w14:paraId="44528A31">
      <w:pPr>
        <w:adjustRightInd w:val="0"/>
        <w:spacing w:line="600" w:lineRule="exact"/>
        <w:ind w:firstLine="64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参加人员</w:t>
      </w:r>
    </w:p>
    <w:p w14:paraId="3DE0BBEB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全市各类企事业单位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（含驻津）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及社会团体等组织中在职的专业技术人员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，以及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从事专业技术工作的自由职业者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、新就业形态劳动者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3A9C9233">
      <w:pPr>
        <w:numPr>
          <w:ilvl w:val="-1"/>
          <w:numId w:val="0"/>
        </w:numPr>
        <w:adjustRightInd w:val="0"/>
        <w:spacing w:line="600" w:lineRule="exact"/>
        <w:ind w:firstLine="640" w:firstLineChars="200"/>
        <w:jc w:val="both"/>
        <w:rPr>
          <w:rFonts w:hint="eastAsia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eastAsia="黑体" w:cs="Times New Roman"/>
          <w:color w:val="auto"/>
          <w:sz w:val="32"/>
          <w:szCs w:val="32"/>
          <w:lang w:eastAsia="zh-CN"/>
        </w:rPr>
        <w:t>二、时间安排</w:t>
      </w:r>
    </w:p>
    <w:p w14:paraId="06D6A464">
      <w:pPr>
        <w:adjustRightInd w:val="0"/>
        <w:spacing w:line="600" w:lineRule="exact"/>
        <w:ind w:firstLine="6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公需科目学习时间为202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年全年。</w:t>
      </w:r>
    </w:p>
    <w:p w14:paraId="426E956A">
      <w:pPr>
        <w:numPr>
          <w:ilvl w:val="0"/>
          <w:numId w:val="0"/>
        </w:numPr>
        <w:adjustRightInd w:val="0"/>
        <w:spacing w:line="60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、学时规定</w:t>
      </w:r>
    </w:p>
    <w:p w14:paraId="549F7085">
      <w:pPr>
        <w:adjustRightInd w:val="0"/>
        <w:spacing w:line="600" w:lineRule="exact"/>
        <w:ind w:firstLine="64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专业技术人员全年需完成公需科目32学时，其中，必修课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选修课2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学时。</w:t>
      </w:r>
    </w:p>
    <w:p w14:paraId="5E255AB3">
      <w:pPr>
        <w:adjustRightInd w:val="0"/>
        <w:spacing w:line="600" w:lineRule="exact"/>
        <w:ind w:firstLine="64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、学习内容和方式</w:t>
      </w:r>
    </w:p>
    <w:p w14:paraId="17DC00DE">
      <w:pPr>
        <w:adjustRightInd w:val="0"/>
        <w:spacing w:line="600" w:lineRule="exact"/>
        <w:ind w:firstLine="6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必修课为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门，选修课为京津冀协同发展走深走实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、制造业高质量发展、科教兴市人才强市、港产城融合发展、滨海新区高质量发展支撑引领、中心城区更新提升、乡村振兴全面推进、绿色低碳发展、高品质生活创造、党建引领基层治理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类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门，详见《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年天津市专业技术人员继续教育公需科目指导目录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》（附件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）。</w:t>
      </w:r>
    </w:p>
    <w:p w14:paraId="598C5B69">
      <w:pPr>
        <w:adjustRightInd w:val="0"/>
        <w:spacing w:line="60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必修课可登录天津市专业技术人员继续教育网（网址：http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s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://tjjxjy.chinahrt.com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，以下简称继续教育网）进行免费学习，考核合格后取得相应学时；选修课可在继续教育网自主选课开展学习，也可参加由本区、本系统或本单位组织的符合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选修课范围的课程。</w:t>
      </w:r>
    </w:p>
    <w:p w14:paraId="06124BE6">
      <w:pPr>
        <w:adjustRightInd w:val="0"/>
        <w:spacing w:line="600" w:lineRule="exact"/>
        <w:ind w:firstLine="64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五、有关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事宜</w:t>
      </w:r>
    </w:p>
    <w:p w14:paraId="404B8C9B">
      <w:pPr>
        <w:adjustRightInd w:val="0"/>
        <w:spacing w:line="600" w:lineRule="exact"/>
        <w:ind w:firstLine="64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公需科目学习是专业技术人员继续教育的重要内容。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专业技术人员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继续教育学习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方面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足额完成公需科目学时的，视为不符合继续教育学习要求。专业技术人员完成公需科目学习后，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应按规定及时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学时登记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详见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天津市专业技术人员继续教育学时年度登记表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在职称申报时作为佐证材料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33E3BD7E">
      <w:pPr>
        <w:adjustRightInd w:val="0"/>
        <w:spacing w:line="600" w:lineRule="exact"/>
        <w:ind w:firstLine="6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未完成20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年至20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继续教育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公需科目学习任务的专业技术人员，202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年仍可通过继续教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育网“补学窗口”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参加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学习，完成学习任务并经考核合格后，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可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计入补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学年份公需科目学时，从继续教育网打印培训合格证书。</w:t>
      </w:r>
    </w:p>
    <w:p w14:paraId="31C8B060">
      <w:pPr>
        <w:adjustRightInd w:val="0"/>
        <w:spacing w:line="600" w:lineRule="exact"/>
        <w:ind w:firstLine="6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）公需科目培训相关费用，可按国家有关规定从单位职工教育培训经费中列支。</w:t>
      </w:r>
    </w:p>
    <w:p w14:paraId="4F7A06A2">
      <w:pPr>
        <w:adjustRightInd w:val="0"/>
        <w:spacing w:line="600" w:lineRule="exact"/>
        <w:ind w:firstLine="6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本通知自印发之日起施行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2026年1月1日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之前已选但未修完的课程不结转计入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年度公需科目学时。</w:t>
      </w:r>
    </w:p>
    <w:p w14:paraId="268C986F">
      <w:pPr>
        <w:adjustRightInd w:val="0"/>
        <w:spacing w:line="600" w:lineRule="exact"/>
        <w:ind w:firstLine="6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F39A2FB">
      <w:pPr>
        <w:adjustRightInd w:val="0"/>
        <w:spacing w:line="600" w:lineRule="exact"/>
        <w:ind w:firstLine="640"/>
        <w:jc w:val="both"/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系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lang w:val="en-US" w:eastAsia="zh-CN"/>
        </w:rPr>
        <w:t>市人社局专业技术人员管理处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color w:val="auto"/>
          <w:spacing w:val="-11"/>
          <w:sz w:val="32"/>
          <w:szCs w:val="32"/>
          <w:lang w:val="en-US" w:eastAsia="zh-CN"/>
        </w:rPr>
        <w:t>赵文清</w:t>
      </w:r>
    </w:p>
    <w:p w14:paraId="78DC6528">
      <w:pPr>
        <w:pStyle w:val="7"/>
        <w:spacing w:line="600" w:lineRule="exact"/>
        <w:jc w:val="both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联系电话：63082701</w:t>
      </w:r>
    </w:p>
    <w:p w14:paraId="44BE3C28">
      <w:pPr>
        <w:adjustRightInd w:val="0"/>
        <w:spacing w:line="600" w:lineRule="exact"/>
        <w:ind w:firstLine="6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365BC9D8">
      <w:pPr>
        <w:adjustRightInd w:val="0"/>
        <w:spacing w:line="600" w:lineRule="exact"/>
        <w:ind w:left="1560" w:hanging="922"/>
        <w:jc w:val="both"/>
        <w:rPr>
          <w:rFonts w:hint="default" w:eastAsia="仿宋_GB2312" w:cs="Times New Roman"/>
          <w:color w:val="auto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附件：</w:t>
      </w:r>
      <w:r>
        <w:rPr>
          <w:rFonts w:hint="default" w:eastAsia="仿宋_GB2312" w:cs="Times New Roman"/>
          <w:color w:val="auto"/>
          <w:sz w:val="32"/>
          <w:szCs w:val="32"/>
          <w:lang w:val="en"/>
        </w:rPr>
        <w:t>1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．</w:t>
      </w:r>
      <w:r>
        <w:rPr>
          <w:rFonts w:hint="default" w:eastAsia="仿宋_GB2312" w:cs="Times New Roman"/>
          <w:color w:val="auto"/>
          <w:sz w:val="32"/>
          <w:szCs w:val="32"/>
          <w:lang w:val="e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eastAsia="仿宋_GB2312" w:cs="Times New Roman"/>
          <w:color w:val="auto"/>
          <w:sz w:val="32"/>
          <w:szCs w:val="32"/>
          <w:lang w:val="en"/>
        </w:rPr>
        <w:t>年天津市专业技术人员继续教育公需科目</w:t>
      </w:r>
    </w:p>
    <w:p w14:paraId="3D1E45D4">
      <w:pPr>
        <w:adjustRightInd w:val="0"/>
        <w:spacing w:line="600" w:lineRule="exact"/>
        <w:ind w:left="1560" w:hanging="922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default" w:eastAsia="仿宋_GB2312" w:cs="Times New Roman"/>
          <w:color w:val="auto"/>
          <w:sz w:val="32"/>
          <w:szCs w:val="32"/>
          <w:lang w:val="en" w:eastAsia="zh-CN"/>
        </w:rPr>
        <w:t xml:space="preserve"> </w:t>
      </w:r>
      <w:r>
        <w:rPr>
          <w:rFonts w:hint="default" w:eastAsia="仿宋_GB2312" w:cs="Times New Roman"/>
          <w:color w:val="auto"/>
          <w:sz w:val="32"/>
          <w:szCs w:val="32"/>
          <w:lang w:val="en"/>
        </w:rPr>
        <w:t>指导目录</w:t>
      </w:r>
    </w:p>
    <w:p w14:paraId="1024A66D">
      <w:pPr>
        <w:numPr>
          <w:ilvl w:val="0"/>
          <w:numId w:val="0"/>
        </w:numPr>
        <w:adjustRightInd w:val="0"/>
        <w:spacing w:line="600" w:lineRule="exact"/>
        <w:ind w:left="0" w:leftChars="0" w:firstLine="1600" w:firstLineChars="5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天津市专业技术人员继续教育学时年度登记表</w:t>
      </w:r>
    </w:p>
    <w:p w14:paraId="1A17B184">
      <w:pPr>
        <w:adjustRightInd w:val="0"/>
        <w:spacing w:line="600" w:lineRule="exact"/>
        <w:ind w:firstLine="6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2D01FDF">
      <w:pPr>
        <w:pStyle w:val="7"/>
        <w:spacing w:line="600" w:lineRule="exact"/>
        <w:jc w:val="both"/>
        <w:rPr>
          <w:rFonts w:hint="default" w:ascii="Times New Roman" w:hAnsi="Times New Roman"/>
        </w:rPr>
      </w:pPr>
    </w:p>
    <w:p w14:paraId="0AB03B71">
      <w:pPr>
        <w:spacing w:line="600" w:lineRule="exact"/>
        <w:ind w:firstLine="5018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A042376">
      <w:pPr>
        <w:pStyle w:val="2"/>
        <w:spacing w:line="60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eastAsia="仿宋_GB2312" w:cs="Times New Roman"/>
          <w:color w:val="auto"/>
          <w:sz w:val="32"/>
          <w:szCs w:val="32"/>
          <w:lang w:val="en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eastAsia="仿宋_GB2312" w:cs="Times New Roman"/>
          <w:color w:val="auto"/>
          <w:sz w:val="32"/>
          <w:szCs w:val="32"/>
          <w:lang w:val="e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 w14:paraId="350EAAE5">
      <w:pPr>
        <w:pStyle w:val="2"/>
        <w:spacing w:line="60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   （此件主动公开）</w:t>
      </w:r>
    </w:p>
    <w:p w14:paraId="658878F8">
      <w:pPr>
        <w:pStyle w:val="2"/>
        <w:spacing w:line="600" w:lineRule="exact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59C1C92">
      <w:pPr>
        <w:pStyle w:val="2"/>
        <w:spacing w:line="600" w:lineRule="exact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7516D0C">
      <w:pPr>
        <w:pStyle w:val="2"/>
        <w:spacing w:line="600" w:lineRule="exact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225C056">
      <w:pPr>
        <w:pStyle w:val="2"/>
        <w:spacing w:line="600" w:lineRule="exact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AFE4E26">
      <w:pPr>
        <w:pStyle w:val="2"/>
        <w:spacing w:line="600" w:lineRule="exact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A3F914A">
      <w:pPr>
        <w:pStyle w:val="2"/>
        <w:spacing w:line="600" w:lineRule="exact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25BA87C">
      <w:pPr>
        <w:pStyle w:val="2"/>
        <w:spacing w:line="600" w:lineRule="exact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</w:p>
    <w:p w14:paraId="3E2C1073">
      <w:pPr>
        <w:pStyle w:val="2"/>
        <w:spacing w:line="600" w:lineRule="exact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4D841B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附件</w:t>
      </w:r>
      <w:r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  <w:t>1</w:t>
      </w:r>
    </w:p>
    <w:p w14:paraId="1B6E2298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18B6EEB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年天津市专业技术人员继续教育</w:t>
      </w:r>
    </w:p>
    <w:p w14:paraId="04CD51D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公需科目指导目录</w:t>
      </w:r>
    </w:p>
    <w:p w14:paraId="325EBC0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Times New Roman" w:hAnsi="Times New Roman" w:eastAsia="黑体"/>
          <w:color w:val="000000"/>
          <w:kern w:val="0"/>
          <w:sz w:val="32"/>
          <w:szCs w:val="32"/>
        </w:rPr>
      </w:pPr>
    </w:p>
    <w:p w14:paraId="4A4B069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一、</w:t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必修课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门）</w:t>
      </w:r>
    </w:p>
    <w:p w14:paraId="7A9EBCF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（一）党的二十届四中全会精神总体解读</w:t>
      </w:r>
    </w:p>
    <w:p w14:paraId="2D6F53C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（二）加快高水平科技自立自强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引领发展新质生产力</w:t>
      </w:r>
    </w:p>
    <w:p w14:paraId="3EF995C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（三）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人工智能通识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——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当AI遇见区块链 构建可信智能经济的基石</w:t>
      </w:r>
    </w:p>
    <w:p w14:paraId="66EB86C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二、</w:t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选修</w:t>
      </w:r>
      <w:r>
        <w:rPr>
          <w:rFonts w:ascii="Times New Roman" w:hAnsi="Times New Roman" w:eastAsia="黑体"/>
          <w:color w:val="000000"/>
          <w:kern w:val="0"/>
          <w:sz w:val="32"/>
          <w:szCs w:val="32"/>
          <w:highlight w:val="none"/>
        </w:rPr>
        <w:t>课（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highlight w:val="none"/>
          <w:lang w:val="en-US" w:eastAsia="zh-CN"/>
        </w:rPr>
        <w:t>43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highlight w:val="none"/>
        </w:rPr>
        <w:t>门</w:t>
      </w:r>
      <w:r>
        <w:rPr>
          <w:rFonts w:ascii="Times New Roman" w:hAnsi="Times New Roman" w:eastAsia="黑体"/>
          <w:color w:val="000000"/>
          <w:kern w:val="0"/>
          <w:sz w:val="32"/>
          <w:szCs w:val="32"/>
          <w:highlight w:val="none"/>
        </w:rPr>
        <w:t>）</w:t>
      </w:r>
    </w:p>
    <w:p w14:paraId="2D47FF1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（一）京津冀协同发展走深走实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eastAsia="zh-CN"/>
        </w:rPr>
        <w:t>行动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门）</w:t>
      </w:r>
    </w:p>
    <w:p w14:paraId="38A090B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京津冀协同下的科技成果转化</w:t>
      </w:r>
    </w:p>
    <w:p w14:paraId="08FA5C5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</w:rPr>
        <w:t>京津冀生态环境协同治理与绿色发展</w:t>
      </w:r>
    </w:p>
    <w:p w14:paraId="7385B3A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</w:rPr>
        <w:t>京津冀“十五五”产业协同发展</w:t>
      </w:r>
    </w:p>
    <w:p w14:paraId="7DF1BCE1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val="en-US" w:eastAsia="zh-CN"/>
        </w:rPr>
        <w:t xml:space="preserve">    4．京津冀区域一体化进程中的公共服务协同</w:t>
      </w:r>
    </w:p>
    <w:p w14:paraId="04961D7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（二）制造业高质量发展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eastAsia="zh-CN"/>
        </w:rPr>
        <w:t>行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highlight w:val="none"/>
          <w:lang w:eastAsia="zh-CN"/>
        </w:rPr>
        <w:t>动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highlight w:val="none"/>
        </w:rPr>
        <w:t>门）</w:t>
      </w:r>
    </w:p>
    <w:p w14:paraId="4E11DC2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val="en-US" w:eastAsia="zh-CN"/>
        </w:rPr>
        <w:t>1．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建设现代化产业体系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巩固壮大实体经济根基</w:t>
      </w:r>
    </w:p>
    <w:p w14:paraId="1416298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</w:rPr>
        <w:t>数字技术与制造业融合发展</w:t>
      </w:r>
    </w:p>
    <w:p w14:paraId="69291CC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数字时代新技术知识产权保护</w:t>
      </w:r>
    </w:p>
    <w:p w14:paraId="1C6E24E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4．质量管理体系建设与标准化质量评估</w:t>
      </w:r>
    </w:p>
    <w:p w14:paraId="6084A88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5．AI赋能生物科技</w:t>
      </w:r>
    </w:p>
    <w:p w14:paraId="44100A3D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6．数字技术助力安全管理建设</w:t>
      </w:r>
    </w:p>
    <w:p w14:paraId="49726D6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（三）科教兴市人才强市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eastAsia="zh-CN"/>
        </w:rPr>
        <w:t>行动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门）</w:t>
      </w:r>
    </w:p>
    <w:p w14:paraId="119497F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1．关于我国人工智能健康发展的重要论述</w:t>
      </w:r>
    </w:p>
    <w:p w14:paraId="6E413D8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2．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人工智能技术进展与应用</w:t>
      </w:r>
    </w:p>
    <w:p w14:paraId="34E6541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3．科技成果转化与金融资本</w:t>
      </w:r>
    </w:p>
    <w:p w14:paraId="2AFD790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4．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数字经济技术技能人才培育</w:t>
      </w:r>
    </w:p>
    <w:p w14:paraId="762B90B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5．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新一代信息技术在档案管理中的应用</w:t>
      </w:r>
    </w:p>
    <w:p w14:paraId="28B7B065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6．密码应用与实践</w:t>
      </w:r>
    </w:p>
    <w:p w14:paraId="6B6EF74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（四）港产城融合发展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eastAsia="zh-CN"/>
        </w:rPr>
        <w:t>行动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门）</w:t>
      </w:r>
    </w:p>
    <w:p w14:paraId="43FA7F2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highlight w:val="none"/>
          <w:lang w:eastAsia="zh-CN"/>
        </w:rPr>
        <w:t>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中国海洋强国战略</w:t>
      </w:r>
    </w:p>
    <w:p w14:paraId="4CFB9AA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水路交通智能控制的现状与展望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</w:p>
    <w:p w14:paraId="6CA3EEF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交通物流降本增效策略与实践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</w:p>
    <w:p w14:paraId="5042E4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消防安全与应急管理</w:t>
      </w:r>
    </w:p>
    <w:p w14:paraId="4A4127F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（五）滨海新区高质量发展支撑引领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eastAsia="zh-CN"/>
        </w:rPr>
        <w:t>行动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（4门）</w:t>
      </w:r>
    </w:p>
    <w:p w14:paraId="61D66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highlight w:val="none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持续完善高水平对外开放体制机制</w:t>
      </w:r>
    </w:p>
    <w:p w14:paraId="275957D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．未来产业发展</w:t>
      </w:r>
    </w:p>
    <w:p w14:paraId="5E91A0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数据要素驱动与数字贸易创新</w:t>
      </w:r>
    </w:p>
    <w:p w14:paraId="2E069D0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4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央国企深化改革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与民营企业高质量发展</w:t>
      </w:r>
    </w:p>
    <w:p w14:paraId="09D5F22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（六）中心城区更新提升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eastAsia="zh-CN"/>
        </w:rPr>
        <w:t>行动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（4门）</w:t>
      </w:r>
    </w:p>
    <w:p w14:paraId="7398990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数字时代的智慧公共管理</w:t>
      </w:r>
    </w:p>
    <w:p w14:paraId="2AD9F96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新时代新型公共文化空间建设与发展</w:t>
      </w:r>
    </w:p>
    <w:p w14:paraId="0C85A46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中国式现代化公园城市建设</w:t>
      </w:r>
    </w:p>
    <w:p w14:paraId="072A234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4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文化产业与休闲产业</w:t>
      </w:r>
    </w:p>
    <w:p w14:paraId="600CEAE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（七）乡村振兴全面推进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eastAsia="zh-CN"/>
        </w:rPr>
        <w:t>行动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（4门）</w:t>
      </w:r>
    </w:p>
    <w:p w14:paraId="2B7FC2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把握“千万工程”深刻内涵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全面推进乡村振兴</w:t>
      </w:r>
    </w:p>
    <w:p w14:paraId="39E1E03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数字赋能乡村振兴</w:t>
      </w:r>
    </w:p>
    <w:p w14:paraId="5626EB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宜居宜业和美乡村建设与管理</w:t>
      </w:r>
    </w:p>
    <w:p w14:paraId="762B69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4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中国式现代化视域下的城乡融合机制建构</w:t>
      </w:r>
    </w:p>
    <w:p w14:paraId="2449AE9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（八）绿色低碳发展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eastAsia="zh-CN"/>
        </w:rPr>
        <w:t>行动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门）</w:t>
      </w:r>
    </w:p>
    <w:p w14:paraId="3BD94C6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全面绿色转型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建设美丽中国</w:t>
      </w:r>
    </w:p>
    <w:p w14:paraId="6B8615B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生态风险识别与协同治理</w:t>
      </w:r>
    </w:p>
    <w:p w14:paraId="12D01C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绿色金融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绿色低碳建造</w:t>
      </w:r>
    </w:p>
    <w:p w14:paraId="430CD53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（九）高品质生活创造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highlight w:val="none"/>
          <w:lang w:eastAsia="zh-CN"/>
        </w:rPr>
        <w:t>行动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highlight w:val="none"/>
        </w:rPr>
        <w:t>门）</w:t>
      </w:r>
    </w:p>
    <w:p w14:paraId="5760FEA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学习和运用习近平文化思想</w:t>
      </w:r>
    </w:p>
    <w:p w14:paraId="70A1E33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</w:rPr>
        <w:t>食品安全</w:t>
      </w:r>
    </w:p>
    <w:p w14:paraId="6A272E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default" w:ascii="Times New Roman" w:hAnsi="Times New Roman" w:eastAsia="楷体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职业病、青少年近视等疾病防控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与医疗卫生</w:t>
      </w:r>
    </w:p>
    <w:p w14:paraId="1B0AC8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国产软件应用</w:t>
      </w:r>
    </w:p>
    <w:p w14:paraId="7FBB075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（十）党建引领基层治理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eastAsia="zh-CN"/>
        </w:rPr>
        <w:t>行动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门）</w:t>
      </w:r>
    </w:p>
    <w:p w14:paraId="7382BF9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color w:val="auto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《习近平关于基层治理论述摘编》学习辅导</w:t>
      </w:r>
    </w:p>
    <w:p w14:paraId="43491E0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提高党对进一步全面深化改革的领导水平</w:t>
      </w:r>
    </w:p>
    <w:p w14:paraId="5F01D3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破除形式主义枷锁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激活基层治理动能</w:t>
      </w:r>
    </w:p>
    <w:p w14:paraId="0E532D0F">
      <w:pPr>
        <w:pStyle w:val="2"/>
        <w:spacing w:line="60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</w:pP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．健全城市安全发展与风险治理体系</w:t>
      </w:r>
    </w:p>
    <w:p w14:paraId="7A641FE0">
      <w:pPr>
        <w:spacing w:line="600" w:lineRule="exact"/>
        <w:rPr>
          <w:rFonts w:hint="eastAsia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F2587C-9904-4B02-B73F-04971CB15F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F898322-3283-4243-93D6-26E352361C0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7071A21-0122-4960-BA16-BF8D15F54AB8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3A7A7FE-D471-4B79-8571-4C979DA49F98}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015A2598-7E34-479E-8099-BD21E0E1CC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E8F7D">
    <w:pPr>
      <w:pStyle w:val="5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1FC7E340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E791390"/>
    <w:rsid w:val="38E6B9E5"/>
    <w:rsid w:val="3F777596"/>
    <w:rsid w:val="4AB54634"/>
    <w:rsid w:val="518E1E3B"/>
    <w:rsid w:val="5F88638E"/>
    <w:rsid w:val="6BFB8A8C"/>
    <w:rsid w:val="6FFF3003"/>
    <w:rsid w:val="7EE54A7D"/>
    <w:rsid w:val="7F732295"/>
    <w:rsid w:val="7FEF108D"/>
    <w:rsid w:val="87FD8509"/>
    <w:rsid w:val="AA33F6E1"/>
    <w:rsid w:val="D59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 w:firstLine="0" w:firstLineChars="0"/>
      <w:jc w:val="center"/>
      <w:outlineLvl w:val="0"/>
    </w:pPr>
    <w:rPr>
      <w:rFonts w:hint="eastAsia" w:ascii="等线 Light" w:hAnsi="等线 Light" w:eastAsia="方正小标宋_GBK" w:cs="Times New Roman"/>
      <w:bCs/>
      <w:kern w:val="2"/>
      <w:sz w:val="44"/>
      <w:szCs w:val="32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0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1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2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3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4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5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6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7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6</Pages>
  <Words>2025</Words>
  <Characters>2112</Characters>
  <Lines>1</Lines>
  <Paragraphs>1</Paragraphs>
  <TotalTime>11</TotalTime>
  <ScaleCrop>false</ScaleCrop>
  <LinksUpToDate>false</LinksUpToDate>
  <CharactersWithSpaces>2200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2020-09-14T14:56:00Z</dcterms:created>
  <dc:creator>admin</dc:creator>
  <cp:lastModifiedBy>佟萌萌</cp:lastModifiedBy>
  <cp:lastPrinted>2005-02-19T23:04:00Z</cp:lastPrinted>
  <dcterms:modified xsi:type="dcterms:W3CDTF">2026-01-26T03:20:29Z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ECBB1DDA0BA54F1D8E81E23E9AB788AE_12</vt:lpwstr>
  </property>
</Properties>
</file>